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MarginMix – Effort Band &amp; Percentage Allocation Logic</w:t>
      </w:r>
    </w:p>
    <w:p>
      <w:r>
        <w:t>Effort bands are derived AFTER the margin risk verdict is determined. They do not influence verdicts. They describe how structural load manifests during delivery.</w:t>
      </w:r>
    </w:p>
    <w:p>
      <w:pPr>
        <w:pStyle w:val="Heading2"/>
      </w:pPr>
      <w:r>
        <w:t>Verdict-Based Effort Patterns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Verdict</w:t>
            </w:r>
          </w:p>
        </w:tc>
        <w:tc>
          <w:tcPr>
            <w:tcW w:type="dxa" w:w="1440"/>
          </w:tcPr>
          <w:p>
            <w:r>
              <w:t>Senior Effort Band</w:t>
            </w:r>
          </w:p>
        </w:tc>
        <w:tc>
          <w:tcPr>
            <w:tcW w:type="dxa" w:w="1440"/>
          </w:tcPr>
          <w:p>
            <w:r>
              <w:t>Mid-Level Coordination Band</w:t>
            </w:r>
          </w:p>
        </w:tc>
        <w:tc>
          <w:tcPr>
            <w:tcW w:type="dxa" w:w="1440"/>
          </w:tcPr>
          <w:p>
            <w:r>
              <w:t>Execution Band</w:t>
            </w:r>
          </w:p>
        </w:tc>
        <w:tc>
          <w:tcPr>
            <w:tcW w:type="dxa" w:w="1440"/>
          </w:tcPr>
          <w:p>
            <w:r>
              <w:t>Typical % Split</w:t>
            </w:r>
          </w:p>
        </w:tc>
        <w:tc>
          <w:tcPr>
            <w:tcW w:type="dxa" w:w="1440"/>
          </w:tcPr>
          <w:p>
            <w:r>
              <w:t>Interpretation</w:t>
            </w:r>
          </w:p>
        </w:tc>
      </w:tr>
      <w:tr>
        <w:tc>
          <w:tcPr>
            <w:tcW w:type="dxa" w:w="1440"/>
          </w:tcPr>
          <w:p>
            <w:r>
              <w:t>Structurally Safe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20 / 25 / 55</w:t>
            </w:r>
          </w:p>
        </w:tc>
        <w:tc>
          <w:tcPr>
            <w:tcW w:type="dxa" w:w="1440"/>
          </w:tcPr>
          <w:p>
            <w:r>
              <w:t>Delivery-led engagement with limited senior oversight</w:t>
            </w:r>
          </w:p>
        </w:tc>
      </w:tr>
      <w:tr>
        <w:tc>
          <w:tcPr>
            <w:tcW w:type="dxa" w:w="1440"/>
          </w:tcPr>
          <w:p>
            <w:r>
              <w:t>Price Sensitive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30 / 30 / 40</w:t>
            </w:r>
          </w:p>
        </w:tc>
        <w:tc>
          <w:tcPr>
            <w:tcW w:type="dxa" w:w="1440"/>
          </w:tcPr>
          <w:p>
            <w:r>
              <w:t>Front-loaded senior effort required to protect pricing</w:t>
            </w:r>
          </w:p>
        </w:tc>
      </w:tr>
      <w:tr>
        <w:tc>
          <w:tcPr>
            <w:tcW w:type="dxa" w:w="1440"/>
          </w:tcPr>
          <w:p>
            <w:r>
              <w:t>Execution Heavy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25 / 40 / 35</w:t>
            </w:r>
          </w:p>
        </w:tc>
        <w:tc>
          <w:tcPr>
            <w:tcW w:type="dxa" w:w="1440"/>
          </w:tcPr>
          <w:p>
            <w:r>
              <w:t>Coordination overhead dominates execution</w:t>
            </w:r>
          </w:p>
        </w:tc>
      </w:tr>
      <w:tr>
        <w:tc>
          <w:tcPr>
            <w:tcW w:type="dxa" w:w="1440"/>
          </w:tcPr>
          <w:p>
            <w:r>
              <w:t>Structurally Fragile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45 / 35 / 20</w:t>
            </w:r>
          </w:p>
        </w:tc>
        <w:tc>
          <w:tcPr>
            <w:tcW w:type="dxa" w:w="1440"/>
          </w:tcPr>
          <w:p>
            <w:r>
              <w:t>Sustained senior involvement required to prevent margin erosion</w:t>
            </w:r>
          </w:p>
        </w:tc>
      </w:tr>
      <w:tr>
        <w:tc>
          <w:tcPr>
            <w:tcW w:type="dxa" w:w="1440"/>
          </w:tcPr>
          <w:p>
            <w:r>
              <w:t>Do Not Proceed Without Repricing</w:t>
            </w:r>
          </w:p>
        </w:tc>
        <w:tc>
          <w:tcPr>
            <w:tcW w:type="dxa" w:w="1440"/>
          </w:tcPr>
          <w:p>
            <w:r>
              <w:t>Very High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50 / 35 / 15</w:t>
            </w:r>
          </w:p>
        </w:tc>
        <w:tc>
          <w:tcPr>
            <w:tcW w:type="dxa" w:w="1440"/>
          </w:tcPr>
          <w:p>
            <w:r>
              <w:t>Structural load exceeds safe pricing assumptions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