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MarginMix – Question to Signal Mapping (Canonical)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Derived Signal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Q1–Q5</w:t>
            </w:r>
          </w:p>
        </w:tc>
        <w:tc>
          <w:tcPr>
            <w:tcW w:type="dxa" w:w="2160"/>
          </w:tcPr>
          <w:p>
            <w:r>
              <w:t>Identifiers</w:t>
            </w:r>
          </w:p>
        </w:tc>
        <w:tc>
          <w:tcPr>
            <w:tcW w:type="dxa" w:w="2160"/>
          </w:tcPr>
          <w:p>
            <w:r>
              <w:t>No signal</w:t>
            </w:r>
          </w:p>
        </w:tc>
        <w:tc>
          <w:tcPr>
            <w:tcW w:type="dxa" w:w="2160"/>
          </w:tcPr>
          <w:p>
            <w:r>
              <w:t>Context only</w:t>
            </w:r>
          </w:p>
        </w:tc>
      </w:tr>
      <w:tr>
        <w:tc>
          <w:tcPr>
            <w:tcW w:type="dxa" w:w="2160"/>
          </w:tcPr>
          <w:p>
            <w:r>
              <w:t>Q6 Engagement Type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EngagementState</w:t>
            </w:r>
          </w:p>
        </w:tc>
        <w:tc>
          <w:tcPr>
            <w:tcW w:type="dxa" w:w="2160"/>
          </w:tcPr>
          <w:p>
            <w:r>
              <w:t>New / Ongoing / Escalation</w:t>
            </w:r>
          </w:p>
        </w:tc>
      </w:tr>
      <w:tr>
        <w:tc>
          <w:tcPr>
            <w:tcW w:type="dxa" w:w="2160"/>
          </w:tcPr>
          <w:p>
            <w:r>
              <w:t>Q7 Pricing Model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PricingRigidity</w:t>
            </w:r>
          </w:p>
        </w:tc>
        <w:tc>
          <w:tcPr>
            <w:tcW w:type="dxa" w:w="2160"/>
          </w:tcPr>
          <w:p>
            <w:r>
              <w:t>Fixed increases exposure</w:t>
            </w:r>
          </w:p>
        </w:tc>
      </w:tr>
      <w:tr>
        <w:tc>
          <w:tcPr>
            <w:tcW w:type="dxa" w:w="2160"/>
          </w:tcPr>
          <w:p>
            <w:r>
              <w:t>Q8 Scope Volatility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ScopeElasticity</w:t>
            </w:r>
          </w:p>
        </w:tc>
        <w:tc>
          <w:tcPr>
            <w:tcW w:type="dxa" w:w="2160"/>
          </w:tcPr>
          <w:p>
            <w:r>
              <w:t>High elasticity = risk</w:t>
            </w:r>
          </w:p>
        </w:tc>
      </w:tr>
      <w:tr>
        <w:tc>
          <w:tcPr>
            <w:tcW w:type="dxa" w:w="2160"/>
          </w:tcPr>
          <w:p>
            <w:r>
              <w:t>Q9 Client Volatility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ClientVolatility</w:t>
            </w:r>
          </w:p>
        </w:tc>
        <w:tc>
          <w:tcPr>
            <w:tcW w:type="dxa" w:w="2160"/>
          </w:tcPr>
          <w:p>
            <w:r>
              <w:t>Predictability signal</w:t>
            </w:r>
          </w:p>
        </w:tc>
      </w:tr>
      <w:tr>
        <w:tc>
          <w:tcPr>
            <w:tcW w:type="dxa" w:w="2160"/>
          </w:tcPr>
          <w:p>
            <w:r>
              <w:t>Q10 Stakeholder Complexity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StakeholderLoad</w:t>
            </w:r>
          </w:p>
        </w:tc>
        <w:tc>
          <w:tcPr>
            <w:tcW w:type="dxa" w:w="2160"/>
          </w:tcPr>
          <w:p>
            <w:r>
              <w:t>Coordination drag</w:t>
            </w:r>
          </w:p>
        </w:tc>
      </w:tr>
      <w:tr>
        <w:tc>
          <w:tcPr>
            <w:tcW w:type="dxa" w:w="2160"/>
          </w:tcPr>
          <w:p>
            <w:r>
              <w:t>Q11 Approval Layers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ApprovalEntropy</w:t>
            </w:r>
          </w:p>
        </w:tc>
        <w:tc>
          <w:tcPr>
            <w:tcW w:type="dxa" w:w="2160"/>
          </w:tcPr>
          <w:p>
            <w:r>
              <w:t>Decision friction</w:t>
            </w:r>
          </w:p>
        </w:tc>
      </w:tr>
      <w:tr>
        <w:tc>
          <w:tcPr>
            <w:tcW w:type="dxa" w:w="2160"/>
          </w:tcPr>
          <w:p>
            <w:r>
              <w:t>Q12 Senior Involvement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SeniorDependency</w:t>
            </w:r>
          </w:p>
        </w:tc>
        <w:tc>
          <w:tcPr>
            <w:tcW w:type="dxa" w:w="2160"/>
          </w:tcPr>
          <w:p>
            <w:r>
              <w:t>Leadership load</w:t>
            </w:r>
          </w:p>
        </w:tc>
      </w:tr>
      <w:tr>
        <w:tc>
          <w:tcPr>
            <w:tcW w:type="dxa" w:w="2160"/>
          </w:tcPr>
          <w:p>
            <w:r>
              <w:t>Q13 Mid-level Coordination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CoordinationIntensity</w:t>
            </w:r>
          </w:p>
        </w:tc>
        <w:tc>
          <w:tcPr>
            <w:tcW w:type="dxa" w:w="2160"/>
          </w:tcPr>
          <w:p>
            <w:r>
              <w:t>Managerial overhead</w:t>
            </w:r>
          </w:p>
        </w:tc>
      </w:tr>
      <w:tr>
        <w:tc>
          <w:tcPr>
            <w:tcW w:type="dxa" w:w="2160"/>
          </w:tcPr>
          <w:p>
            <w:r>
              <w:t>Q14 Iteration Intensity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IterationLoad</w:t>
            </w:r>
          </w:p>
        </w:tc>
        <w:tc>
          <w:tcPr>
            <w:tcW w:type="dxa" w:w="2160"/>
          </w:tcPr>
          <w:p>
            <w:r>
              <w:t>Rework pressure</w:t>
            </w:r>
          </w:p>
        </w:tc>
      </w:tr>
      <w:tr>
        <w:tc>
          <w:tcPr>
            <w:tcW w:type="dxa" w:w="2160"/>
          </w:tcPr>
          <w:p>
            <w:r>
              <w:t>Q15 Delivery Ambiguity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DeliveryUncertainty</w:t>
            </w:r>
          </w:p>
        </w:tc>
        <w:tc>
          <w:tcPr>
            <w:tcW w:type="dxa" w:w="2160"/>
          </w:tcPr>
          <w:p>
            <w:r>
              <w:t>Execution ambiguity</w:t>
            </w:r>
          </w:p>
        </w:tc>
      </w:tr>
      <w:tr>
        <w:tc>
          <w:tcPr>
            <w:tcW w:type="dxa" w:w="2160"/>
          </w:tcPr>
          <w:p>
            <w:r>
              <w:t>Q16 Change Control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GovernanceStrength</w:t>
            </w:r>
          </w:p>
        </w:tc>
        <w:tc>
          <w:tcPr>
            <w:tcW w:type="dxa" w:w="2160"/>
          </w:tcPr>
          <w:p>
            <w:r>
              <w:t>Risk containment</w:t>
            </w:r>
          </w:p>
        </w:tc>
      </w:tr>
      <w:tr>
        <w:tc>
          <w:tcPr>
            <w:tcW w:type="dxa" w:w="2160"/>
          </w:tcPr>
          <w:p>
            <w:r>
              <w:t>Q17 Pricing Confidence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PricingConfidence</w:t>
            </w:r>
          </w:p>
        </w:tc>
        <w:tc>
          <w:tcPr>
            <w:tcW w:type="dxa" w:w="2160"/>
          </w:tcPr>
          <w:p>
            <w:r>
              <w:t>Executive conviction</w:t>
            </w:r>
          </w:p>
        </w:tc>
      </w:tr>
      <w:tr>
        <w:tc>
          <w:tcPr>
            <w:tcW w:type="dxa" w:w="2160"/>
          </w:tcPr>
          <w:p>
            <w:r>
              <w:t>Q18 Delivery Confidence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DeliveryConfidence</w:t>
            </w:r>
          </w:p>
        </w:tc>
        <w:tc>
          <w:tcPr>
            <w:tcW w:type="dxa" w:w="2160"/>
          </w:tcPr>
          <w:p>
            <w:r>
              <w:t>Execution belief</w:t>
            </w:r>
          </w:p>
        </w:tc>
      </w:tr>
      <w:tr>
        <w:tc>
          <w:tcPr>
            <w:tcW w:type="dxa" w:w="2160"/>
          </w:tcPr>
          <w:p>
            <w:r>
              <w:t>Q19 Measurement Ability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MeasurementMaturity</w:t>
            </w:r>
          </w:p>
        </w:tc>
        <w:tc>
          <w:tcPr>
            <w:tcW w:type="dxa" w:w="2160"/>
          </w:tcPr>
          <w:p>
            <w:r>
              <w:t>Early warning ability</w:t>
            </w:r>
          </w:p>
        </w:tc>
      </w:tr>
      <w:tr>
        <w:tc>
          <w:tcPr>
            <w:tcW w:type="dxa" w:w="2160"/>
          </w:tcPr>
          <w:p>
            <w:r>
              <w:t>Q20 AI Leverage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AILeverage</w:t>
            </w:r>
          </w:p>
        </w:tc>
        <w:tc>
          <w:tcPr>
            <w:tcW w:type="dxa" w:w="2160"/>
          </w:tcPr>
          <w:p>
            <w:r>
              <w:t>Efficiency modifier</w:t>
            </w:r>
          </w:p>
        </w:tc>
      </w:tr>
      <w:tr>
        <w:tc>
          <w:tcPr>
            <w:tcW w:type="dxa" w:w="2160"/>
          </w:tcPr>
          <w:p>
            <w:r>
              <w:t>Q21 Team Experience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TeamMaturity</w:t>
            </w:r>
          </w:p>
        </w:tc>
        <w:tc>
          <w:tcPr>
            <w:tcW w:type="dxa" w:w="2160"/>
          </w:tcPr>
          <w:p>
            <w:r>
              <w:t>Absorption capacity</w:t>
            </w:r>
          </w:p>
        </w:tc>
      </w:tr>
      <w:tr>
        <w:tc>
          <w:tcPr>
            <w:tcW w:type="dxa" w:w="2160"/>
          </w:tcPr>
          <w:p>
            <w:r>
              <w:t>Q22 Resourcing Flexibility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ResourcingFlex</w:t>
            </w:r>
          </w:p>
        </w:tc>
        <w:tc>
          <w:tcPr>
            <w:tcW w:type="dxa" w:w="2160"/>
          </w:tcPr>
          <w:p>
            <w:r>
              <w:t>Shock absorption</w:t>
            </w:r>
          </w:p>
        </w:tc>
      </w:tr>
      <w:tr>
        <w:tc>
          <w:tcPr>
            <w:tcW w:type="dxa" w:w="2160"/>
          </w:tcPr>
          <w:p>
            <w:r>
              <w:t>Q23 Open Signal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  <w:tc>
          <w:tcPr>
            <w:tcW w:type="dxa" w:w="2160"/>
          </w:tcPr>
          <w:p>
            <w:r>
              <w:t>OpenSignal</w:t>
            </w:r>
          </w:p>
        </w:tc>
        <w:tc>
          <w:tcPr>
            <w:tcW w:type="dxa" w:w="2160"/>
          </w:tcPr>
          <w:p>
            <w:r>
              <w:t>Escalation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