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MarginMix – Revised Homepage Copy</w:t>
      </w:r>
    </w:p>
    <w:p>
      <w:pPr>
        <w:pStyle w:val="Heading2"/>
      </w:pPr>
      <w:r>
        <w:t>Hero Headline</w:t>
      </w:r>
    </w:p>
    <w:p>
      <w:r>
        <w:t>Price work with margin confidence — before delivery begins.</w:t>
      </w:r>
    </w:p>
    <w:p>
      <w:pPr>
        <w:pStyle w:val="Heading2"/>
      </w:pPr>
      <w:r>
        <w:t>Sub-headline</w:t>
      </w:r>
    </w:p>
    <w:p>
      <w:r>
        <w:t>MarginMix helps agency and consulting leaders predict margin risk early, using decision logic grounded in staffing complexity, coordination load, and senior effort — not unreliable timesheets.</w:t>
      </w:r>
    </w:p>
    <w:p>
      <w:pPr>
        <w:pStyle w:val="Heading2"/>
      </w:pPr>
      <w:r>
        <w:t>Why This Matters</w:t>
      </w:r>
    </w:p>
    <w:p>
      <w:r>
        <w:t>Most margin risk is locked in at pricing and scoping. Once delivery starts, leaders are often flying blind — relying on gut feel rather than structured insight. MarginMix makes pricing risk visible when it can still be changed.</w:t>
      </w:r>
    </w:p>
    <w:p>
      <w:pPr>
        <w:pStyle w:val="Heading2"/>
      </w:pPr>
      <w:r>
        <w:t>What MarginMix Does</w:t>
      </w:r>
    </w:p>
    <w:p>
      <w:r>
        <w:t>MarginMix acts as a pricing and margin assurance layer. It evaluates whether work is structurally viable based on how it will actually be staffed, governed, and reviewed — not how it looks on paper.</w:t>
      </w:r>
    </w:p>
    <w:p>
      <w:pPr>
        <w:pStyle w:val="Heading2"/>
      </w:pPr>
      <w:r>
        <w:t>What We Measure (Beyond Obvious Metrics)</w:t>
      </w:r>
    </w:p>
    <w:p>
      <w:r>
        <w:t>- Senior attention required over time</w:t>
        <w:br/>
        <w:t>- Coordination overhead as stakeholders multiply</w:t>
        <w:br/>
        <w:t>- Likelihood of rework, refinement, and re-explanation</w:t>
        <w:br/>
        <w:t>- Hidden cognitive and governance load</w:t>
      </w:r>
    </w:p>
    <w:p>
      <w:pPr>
        <w:pStyle w:val="Heading2"/>
      </w:pPr>
      <w:r>
        <w:t>What MarginMix Is (and Isn’t)</w:t>
      </w:r>
    </w:p>
    <w:p>
      <w:r>
        <w:t>MarginMix is not a productivity tool.</w:t>
        <w:br/>
        <w:t>It is not a time-tracking system.</w:t>
        <w:br/>
        <w:t>It is not a utilization dashboard.</w:t>
        <w:br/>
        <w:br/>
        <w:t>It is a decision lens for pricing and margin assurance.</w:t>
      </w:r>
    </w:p>
    <w:p>
      <w:pPr>
        <w:pStyle w:val="Heading2"/>
      </w:pPr>
      <w:r>
        <w:t>Outcome for Leaders</w:t>
      </w:r>
    </w:p>
    <w:p>
      <w:r>
        <w:t>Clearer pricing decisions.</w:t>
        <w:br/>
        <w:t>Fewer surprises mid-delivery.</w:t>
        <w:br/>
        <w:t>More defensible margins — without adding process or friction.</w:t>
      </w:r>
    </w:p>
    <w:p>
      <w:pPr>
        <w:pStyle w:val="Heading2"/>
      </w:pPr>
      <w:r>
        <w:t>Who It’s For</w:t>
      </w:r>
    </w:p>
    <w:p>
      <w:r>
        <w:t>Independent and mid-tier agencies and consulting firms in the US and UK, where margin decisions are frequent, nuanced, and rarely supported by reliable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