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38191" w14:textId="4A9850F2" w:rsidR="005F22BB" w:rsidRDefault="00000000">
      <w:pPr>
        <w:pStyle w:val="Heading1"/>
      </w:pPr>
      <w:r>
        <w:t xml:space="preserve">MarginMix – Why Choose MarginMix </w:t>
      </w:r>
    </w:p>
    <w:p w14:paraId="44C5CB65" w14:textId="77777777" w:rsidR="00BC55BD" w:rsidRDefault="00BC55BD">
      <w:pPr>
        <w:rPr>
          <w:b/>
          <w:bCs/>
        </w:rPr>
      </w:pPr>
    </w:p>
    <w:p w14:paraId="09EE7CFC" w14:textId="54A7CF3A" w:rsidR="005F22BB" w:rsidRDefault="00000000">
      <w:r w:rsidRPr="00BC55BD">
        <w:rPr>
          <w:b/>
          <w:bCs/>
        </w:rPr>
        <w:t>Because pricing risk is decided before delivery begins</w:t>
      </w:r>
      <w:r>
        <w:br/>
      </w:r>
      <w:r>
        <w:br/>
        <w:t>Most agencies and professional services firms already run sophisticated systems — Workday, Workfront, ERPs, finance dashboards.</w:t>
      </w:r>
      <w:r>
        <w:br/>
      </w:r>
      <w:r>
        <w:br/>
        <w:t>They explain what happened. MarginMix exists because the most important margin outcomes are determined earlier — when work is priced, staffed, and committed.</w:t>
      </w:r>
    </w:p>
    <w:p w14:paraId="1D3D72D7" w14:textId="3B784A0E" w:rsidR="005F22BB" w:rsidRDefault="00000000">
      <w:r w:rsidRPr="00BC55BD">
        <w:rPr>
          <w:b/>
          <w:bCs/>
        </w:rPr>
        <w:t>Enterprise systems explain variance. Pricing decisions create it</w:t>
      </w:r>
      <w:r>
        <w:br/>
      </w:r>
      <w:r>
        <w:br/>
        <w:t>Pricing decisions are made before delivery begins, when scope is fluid, senior involvement is uncertain, coordination overhead is underestimated, and delivery models are evolving. MarginMix operates at this moment — when pricing assumptions can still be challenged.</w:t>
      </w:r>
    </w:p>
    <w:p w14:paraId="596B6AC9" w14:textId="79AA9554" w:rsidR="005F22BB" w:rsidRDefault="00000000">
      <w:r w:rsidRPr="00BC55BD">
        <w:rPr>
          <w:b/>
          <w:bCs/>
        </w:rPr>
        <w:t>Why historical data isn’t enough</w:t>
      </w:r>
      <w:r w:rsidR="00BC55BD">
        <w:rPr>
          <w:b/>
          <w:bCs/>
        </w:rPr>
        <w:t>?</w:t>
      </w:r>
      <w:r w:rsidRPr="00BC55BD">
        <w:rPr>
          <w:b/>
          <w:bCs/>
        </w:rPr>
        <w:br/>
      </w:r>
      <w:r>
        <w:br/>
        <w:t>Timesheets are negotiated artifacts. Senior effort is underreported. Historical averages hide tail risk. When work is most complex, data is least reliable. MarginMix fills the pricing blind spot traditional systems can’t address early enough.</w:t>
      </w:r>
    </w:p>
    <w:p w14:paraId="08EC8235" w14:textId="202FB0FA" w:rsidR="005F22BB" w:rsidRDefault="00000000">
      <w:r w:rsidRPr="00BC55BD">
        <w:rPr>
          <w:b/>
          <w:bCs/>
        </w:rPr>
        <w:t>MarginMix standardizes how pricing risk is evaluated</w:t>
      </w:r>
      <w:r>
        <w:br/>
      </w:r>
      <w:r>
        <w:br/>
        <w:t>It introduces a shared pricing and margin assurance lens to pressure-test pricing assumptions, staffing resilience, senior oversight exposure, and coordination risk — creating discipline without bureaucracy.</w:t>
      </w:r>
    </w:p>
    <w:p w14:paraId="744BCEEB" w14:textId="5BF4ECE9" w:rsidR="005F22BB" w:rsidRDefault="00000000">
      <w:r w:rsidRPr="00BC55BD">
        <w:rPr>
          <w:b/>
          <w:bCs/>
        </w:rPr>
        <w:t>Why MarginMix stays lightweight</w:t>
      </w:r>
      <w:r w:rsidR="00BC55BD">
        <w:t>?</w:t>
      </w:r>
      <w:r>
        <w:br/>
      </w:r>
      <w:r>
        <w:br/>
        <w:t>MarginMix does not require ERP integrations, timesheets, or cost tables. Pricing decisions happen before reliable data exists, and false precision weakens judgment. MarginMix is designed to be used every time pricing is discussed.</w:t>
      </w:r>
    </w:p>
    <w:p w14:paraId="7BE14649" w14:textId="5E7F4C87" w:rsidR="005F22BB" w:rsidRDefault="00000000">
      <w:r w:rsidRPr="00BC55BD">
        <w:rPr>
          <w:b/>
          <w:bCs/>
        </w:rPr>
        <w:t>Pricing clarity doesn’t require perfect data</w:t>
      </w:r>
      <w:r>
        <w:br/>
      </w:r>
      <w:r>
        <w:br/>
        <w:t>MarginMix provides early warning, structured skepticism, and defensible pricing decisions. Repricing or restructuring even one engagement can protect hundreds of thousands in margin. That’s why MarginMix is priced as decision insurance.</w:t>
      </w:r>
    </w:p>
    <w:sectPr w:rsidR="005F22B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5991860">
    <w:abstractNumId w:val="8"/>
  </w:num>
  <w:num w:numId="2" w16cid:durableId="624583126">
    <w:abstractNumId w:val="6"/>
  </w:num>
  <w:num w:numId="3" w16cid:durableId="921111119">
    <w:abstractNumId w:val="5"/>
  </w:num>
  <w:num w:numId="4" w16cid:durableId="217132546">
    <w:abstractNumId w:val="4"/>
  </w:num>
  <w:num w:numId="5" w16cid:durableId="1597716364">
    <w:abstractNumId w:val="7"/>
  </w:num>
  <w:num w:numId="6" w16cid:durableId="345644615">
    <w:abstractNumId w:val="3"/>
  </w:num>
  <w:num w:numId="7" w16cid:durableId="1340620962">
    <w:abstractNumId w:val="2"/>
  </w:num>
  <w:num w:numId="8" w16cid:durableId="1087269213">
    <w:abstractNumId w:val="1"/>
  </w:num>
  <w:num w:numId="9" w16cid:durableId="1706321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3747"/>
    <w:rsid w:val="0029639D"/>
    <w:rsid w:val="00326F90"/>
    <w:rsid w:val="005F22BB"/>
    <w:rsid w:val="00AA1D8D"/>
    <w:rsid w:val="00B47730"/>
    <w:rsid w:val="00BC55B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686036"/>
  <w14:defaultImageDpi w14:val="300"/>
  <w15:docId w15:val="{AC531C4B-9C4C-6B42-8EF3-9B3ECDEF7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239</Words>
  <Characters>1559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Siddhartha Dasgupta</cp:lastModifiedBy>
  <cp:revision>2</cp:revision>
  <dcterms:created xsi:type="dcterms:W3CDTF">2026-01-27T05:28:00Z</dcterms:created>
  <dcterms:modified xsi:type="dcterms:W3CDTF">2026-01-27T05:28:00Z</dcterms:modified>
  <cp:category/>
</cp:coreProperties>
</file>