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62C1" w14:textId="76D5A9FA" w:rsidR="00D14A81" w:rsidRDefault="00C73404" w:rsidP="006269CA">
      <w:pPr>
        <w:pStyle w:val="Heading1"/>
      </w:pPr>
      <w:bookmarkStart w:id="0" w:name="_Toc70595365"/>
      <w:bookmarkStart w:id="1" w:name="_Toc94210248"/>
      <w:r w:rsidRPr="00C73404">
        <w:drawing>
          <wp:anchor distT="0" distB="0" distL="114300" distR="114300" simplePos="0" relativeHeight="251658240" behindDoc="0" locked="0" layoutInCell="1" allowOverlap="1" wp14:anchorId="21699F7B" wp14:editId="49B36BE4">
            <wp:simplePos x="0" y="0"/>
            <wp:positionH relativeFrom="margin">
              <wp:posOffset>3694073</wp:posOffset>
            </wp:positionH>
            <wp:positionV relativeFrom="margin">
              <wp:posOffset>-120775</wp:posOffset>
            </wp:positionV>
            <wp:extent cx="2299970" cy="313690"/>
            <wp:effectExtent l="0" t="0" r="0" b="3810"/>
            <wp:wrapSquare wrapText="bothSides"/>
            <wp:docPr id="23" name="Picture 2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SMS.online logo_primary_RGB_Full Colour.jpg"/>
                    <pic:cNvPicPr/>
                  </pic:nvPicPr>
                  <pic:blipFill>
                    <a:blip r:embed="rId11"/>
                    <a:stretch>
                      <a:fillRect/>
                    </a:stretch>
                  </pic:blipFill>
                  <pic:spPr>
                    <a:xfrm>
                      <a:off x="0" y="0"/>
                      <a:ext cx="2299970" cy="313690"/>
                    </a:xfrm>
                    <a:prstGeom prst="rect">
                      <a:avLst/>
                    </a:prstGeom>
                  </pic:spPr>
                </pic:pic>
              </a:graphicData>
            </a:graphic>
            <wp14:sizeRelH relativeFrom="page">
              <wp14:pctWidth>0</wp14:pctWidth>
            </wp14:sizeRelH>
            <wp14:sizeRelV relativeFrom="page">
              <wp14:pctHeight>0</wp14:pctHeight>
            </wp14:sizeRelV>
          </wp:anchor>
        </w:drawing>
      </w:r>
      <w:r w:rsidR="001555CB" w:rsidRPr="00C73404">
        <w:t xml:space="preserve">Risk Assessment </w:t>
      </w:r>
      <w:r>
        <w:br/>
      </w:r>
      <w:r w:rsidR="001555CB" w:rsidRPr="00C73404">
        <w:t xml:space="preserve">&amp; Treatment </w:t>
      </w:r>
      <w:r w:rsidR="00D14A81">
        <w:t>Method</w:t>
      </w:r>
      <w:r w:rsidR="00A5011A">
        <w:t>o</w:t>
      </w:r>
      <w:r w:rsidR="00D14A81">
        <w:t>logy</w:t>
      </w:r>
      <w:bookmarkEnd w:id="0"/>
      <w:bookmarkEnd w:id="1"/>
    </w:p>
    <w:sdt>
      <w:sdtPr>
        <w:rPr>
          <w:rFonts w:ascii="Arial" w:eastAsiaTheme="minorEastAsia" w:hAnsi="Arial" w:cs="Arial"/>
          <w:b w:val="0"/>
          <w:bCs w:val="0"/>
          <w:color w:val="494854"/>
          <w:sz w:val="22"/>
          <w:szCs w:val="24"/>
          <w:lang w:val="en-GB" w:eastAsia="en-GB"/>
        </w:rPr>
        <w:id w:val="-911156099"/>
        <w:docPartObj>
          <w:docPartGallery w:val="Table of Contents"/>
          <w:docPartUnique/>
        </w:docPartObj>
      </w:sdtPr>
      <w:sdtEndPr>
        <w:rPr>
          <w:noProof/>
        </w:rPr>
      </w:sdtEndPr>
      <w:sdtContent>
        <w:p w14:paraId="78403263" w14:textId="77777777" w:rsidR="006F055D" w:rsidRDefault="00D14A81" w:rsidP="00D14A81">
          <w:pPr>
            <w:pStyle w:val="TOCHeading"/>
            <w:rPr>
              <w:noProof/>
            </w:rPr>
          </w:pPr>
          <w:r w:rsidRPr="006269CA">
            <w:rPr>
              <w:rFonts w:cstheme="majorHAnsi"/>
              <w:b w:val="0"/>
              <w:bCs w:val="0"/>
              <w:color w:val="1B1650"/>
            </w:rPr>
            <w:t>Table of Contents</w:t>
          </w:r>
          <w:r w:rsidRPr="00D14A81">
            <w:rPr>
              <w:rFonts w:cstheme="majorHAnsi"/>
              <w:b w:val="0"/>
              <w:bCs w:val="0"/>
              <w:color w:val="494854"/>
            </w:rPr>
            <w:fldChar w:fldCharType="begin"/>
          </w:r>
          <w:r w:rsidRPr="00D14A81">
            <w:rPr>
              <w:rFonts w:cstheme="majorHAnsi"/>
              <w:b w:val="0"/>
              <w:bCs w:val="0"/>
              <w:color w:val="494854"/>
            </w:rPr>
            <w:instrText xml:space="preserve"> TOC \o "1-3" \h \z \u </w:instrText>
          </w:r>
          <w:r w:rsidRPr="00D14A81">
            <w:rPr>
              <w:rFonts w:cstheme="majorHAnsi"/>
              <w:b w:val="0"/>
              <w:bCs w:val="0"/>
              <w:color w:val="494854"/>
            </w:rPr>
            <w:fldChar w:fldCharType="separate"/>
          </w:r>
        </w:p>
        <w:p w14:paraId="0A08D6DC" w14:textId="20828861"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49" w:history="1">
            <w:r w:rsidRPr="006F055D">
              <w:rPr>
                <w:rStyle w:val="Hyperlink"/>
                <w:b w:val="0"/>
                <w:bCs w:val="0"/>
                <w:noProof/>
                <w:sz w:val="20"/>
                <w:szCs w:val="20"/>
              </w:rPr>
              <w:t>1.</w:t>
            </w:r>
            <w:r w:rsidRPr="006F055D">
              <w:rPr>
                <w:rFonts w:cstheme="minorBidi"/>
                <w:b w:val="0"/>
                <w:bCs w:val="0"/>
                <w:noProof/>
                <w:color w:val="auto"/>
                <w:sz w:val="20"/>
                <w:szCs w:val="20"/>
              </w:rPr>
              <w:tab/>
            </w:r>
            <w:r w:rsidRPr="006F055D">
              <w:rPr>
                <w:rStyle w:val="Hyperlink"/>
                <w:b w:val="0"/>
                <w:bCs w:val="0"/>
                <w:noProof/>
                <w:sz w:val="20"/>
                <w:szCs w:val="20"/>
              </w:rPr>
              <w:t>Purpos</w:t>
            </w:r>
            <w:r w:rsidRPr="006F055D">
              <w:rPr>
                <w:rStyle w:val="Hyperlink"/>
                <w:b w:val="0"/>
                <w:bCs w:val="0"/>
                <w:noProof/>
                <w:sz w:val="20"/>
                <w:szCs w:val="20"/>
              </w:rPr>
              <w:t>e</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_Toc94210249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1</w:t>
            </w:r>
            <w:r w:rsidRPr="006F055D">
              <w:rPr>
                <w:b w:val="0"/>
                <w:bCs w:val="0"/>
                <w:noProof/>
                <w:webHidden/>
                <w:sz w:val="20"/>
                <w:szCs w:val="20"/>
              </w:rPr>
              <w:fldChar w:fldCharType="end"/>
            </w:r>
          </w:hyperlink>
        </w:p>
        <w:p w14:paraId="10276115" w14:textId="08B61158"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0" w:history="1">
            <w:r w:rsidRPr="006F055D">
              <w:rPr>
                <w:rStyle w:val="Hyperlink"/>
                <w:b w:val="0"/>
                <w:bCs w:val="0"/>
                <w:noProof/>
                <w:sz w:val="20"/>
                <w:szCs w:val="20"/>
              </w:rPr>
              <w:t>2.</w:t>
            </w:r>
            <w:r w:rsidRPr="006F055D">
              <w:rPr>
                <w:rFonts w:cstheme="minorBidi"/>
                <w:b w:val="0"/>
                <w:bCs w:val="0"/>
                <w:noProof/>
                <w:color w:val="auto"/>
                <w:sz w:val="20"/>
                <w:szCs w:val="20"/>
              </w:rPr>
              <w:tab/>
            </w:r>
            <w:r w:rsidRPr="006F055D">
              <w:rPr>
                <w:rStyle w:val="Hyperlink"/>
                <w:b w:val="0"/>
                <w:bCs w:val="0"/>
                <w:noProof/>
                <w:sz w:val="20"/>
                <w:szCs w:val="20"/>
              </w:rPr>
              <w:t>Risk identification</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_Toc94210250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2</w:t>
            </w:r>
            <w:r w:rsidRPr="006F055D">
              <w:rPr>
                <w:b w:val="0"/>
                <w:bCs w:val="0"/>
                <w:noProof/>
                <w:webHidden/>
                <w:sz w:val="20"/>
                <w:szCs w:val="20"/>
              </w:rPr>
              <w:fldChar w:fldCharType="end"/>
            </w:r>
          </w:hyperlink>
        </w:p>
        <w:p w14:paraId="51C42E15" w14:textId="041A48C2"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1" w:history="1">
            <w:r w:rsidRPr="006F055D">
              <w:rPr>
                <w:rStyle w:val="Hyperlink"/>
                <w:b w:val="0"/>
                <w:bCs w:val="0"/>
                <w:noProof/>
                <w:sz w:val="20"/>
                <w:szCs w:val="20"/>
              </w:rPr>
              <w:t>3.</w:t>
            </w:r>
            <w:r w:rsidRPr="006F055D">
              <w:rPr>
                <w:rFonts w:cstheme="minorBidi"/>
                <w:b w:val="0"/>
                <w:bCs w:val="0"/>
                <w:noProof/>
                <w:color w:val="auto"/>
                <w:sz w:val="20"/>
                <w:szCs w:val="20"/>
              </w:rPr>
              <w:tab/>
            </w:r>
            <w:r w:rsidRPr="006F055D">
              <w:rPr>
                <w:rStyle w:val="Hyperlink"/>
                <w:b w:val="0"/>
                <w:bCs w:val="0"/>
                <w:noProof/>
                <w:sz w:val="20"/>
                <w:szCs w:val="20"/>
              </w:rPr>
              <w:t>Adding and updating risks</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_Toc94210251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2</w:t>
            </w:r>
            <w:r w:rsidRPr="006F055D">
              <w:rPr>
                <w:b w:val="0"/>
                <w:bCs w:val="0"/>
                <w:noProof/>
                <w:webHidden/>
                <w:sz w:val="20"/>
                <w:szCs w:val="20"/>
              </w:rPr>
              <w:fldChar w:fldCharType="end"/>
            </w:r>
          </w:hyperlink>
        </w:p>
        <w:p w14:paraId="6E28B218" w14:textId="7A5FE206"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2" w:history="1">
            <w:r w:rsidRPr="006F055D">
              <w:rPr>
                <w:rStyle w:val="Hyperlink"/>
                <w:b w:val="0"/>
                <w:bCs w:val="0"/>
                <w:noProof/>
                <w:sz w:val="20"/>
                <w:szCs w:val="20"/>
              </w:rPr>
              <w:t>4.</w:t>
            </w:r>
            <w:r w:rsidRPr="006F055D">
              <w:rPr>
                <w:rFonts w:cstheme="minorBidi"/>
                <w:b w:val="0"/>
                <w:bCs w:val="0"/>
                <w:noProof/>
                <w:color w:val="auto"/>
                <w:sz w:val="20"/>
                <w:szCs w:val="20"/>
              </w:rPr>
              <w:tab/>
            </w:r>
            <w:r w:rsidRPr="006F055D">
              <w:rPr>
                <w:rStyle w:val="Hyperlink"/>
                <w:b w:val="0"/>
                <w:bCs w:val="0"/>
                <w:noProof/>
                <w:sz w:val="20"/>
                <w:szCs w:val="20"/>
              </w:rPr>
              <w:t>Assessing risks</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_Toc94210252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3</w:t>
            </w:r>
            <w:r w:rsidRPr="006F055D">
              <w:rPr>
                <w:b w:val="0"/>
                <w:bCs w:val="0"/>
                <w:noProof/>
                <w:webHidden/>
                <w:sz w:val="20"/>
                <w:szCs w:val="20"/>
              </w:rPr>
              <w:fldChar w:fldCharType="end"/>
            </w:r>
          </w:hyperlink>
        </w:p>
        <w:p w14:paraId="2A453416" w14:textId="3C883854"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3" w:history="1">
            <w:r w:rsidRPr="006F055D">
              <w:rPr>
                <w:rStyle w:val="Hyperlink"/>
                <w:b w:val="0"/>
                <w:bCs w:val="0"/>
                <w:noProof/>
                <w:sz w:val="20"/>
                <w:szCs w:val="20"/>
              </w:rPr>
              <w:t>5.</w:t>
            </w:r>
            <w:r w:rsidRPr="006F055D">
              <w:rPr>
                <w:rFonts w:cstheme="minorBidi"/>
                <w:b w:val="0"/>
                <w:bCs w:val="0"/>
                <w:noProof/>
                <w:color w:val="auto"/>
                <w:sz w:val="20"/>
                <w:szCs w:val="20"/>
              </w:rPr>
              <w:tab/>
            </w:r>
            <w:r w:rsidRPr="006F055D">
              <w:rPr>
                <w:rStyle w:val="Hyperlink"/>
                <w:b w:val="0"/>
                <w:bCs w:val="0"/>
                <w:noProof/>
                <w:sz w:val="20"/>
                <w:szCs w:val="20"/>
              </w:rPr>
              <w:t>Treating risks</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_Toc94210253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5</w:t>
            </w:r>
            <w:r w:rsidRPr="006F055D">
              <w:rPr>
                <w:b w:val="0"/>
                <w:bCs w:val="0"/>
                <w:noProof/>
                <w:webHidden/>
                <w:sz w:val="20"/>
                <w:szCs w:val="20"/>
              </w:rPr>
              <w:fldChar w:fldCharType="end"/>
            </w:r>
          </w:hyperlink>
        </w:p>
        <w:p w14:paraId="3BEC0317" w14:textId="257F8D75"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r w:rsidRPr="006F055D">
            <w:rPr>
              <w:rStyle w:val="Hyperlink"/>
              <w:b w:val="0"/>
              <w:bCs w:val="0"/>
              <w:noProof/>
              <w:sz w:val="20"/>
              <w:szCs w:val="20"/>
            </w:rPr>
            <w:fldChar w:fldCharType="begin"/>
          </w:r>
          <w:r w:rsidRPr="006F055D">
            <w:rPr>
              <w:rStyle w:val="Hyperlink"/>
              <w:b w:val="0"/>
              <w:bCs w:val="0"/>
              <w:noProof/>
              <w:sz w:val="20"/>
              <w:szCs w:val="20"/>
            </w:rPr>
            <w:instrText xml:space="preserve"> </w:instrText>
          </w:r>
          <w:r w:rsidRPr="006F055D">
            <w:rPr>
              <w:b w:val="0"/>
              <w:bCs w:val="0"/>
              <w:noProof/>
              <w:sz w:val="20"/>
              <w:szCs w:val="20"/>
            </w:rPr>
            <w:instrText>HYPERLINK \l "_Toc94210254"</w:instrText>
          </w:r>
          <w:r w:rsidRPr="006F055D">
            <w:rPr>
              <w:rStyle w:val="Hyperlink"/>
              <w:b w:val="0"/>
              <w:bCs w:val="0"/>
              <w:noProof/>
              <w:sz w:val="20"/>
              <w:szCs w:val="20"/>
            </w:rPr>
            <w:instrText xml:space="preserve"> </w:instrText>
          </w:r>
          <w:r w:rsidRPr="006F055D">
            <w:rPr>
              <w:rStyle w:val="Hyperlink"/>
              <w:b w:val="0"/>
              <w:bCs w:val="0"/>
              <w:noProof/>
              <w:sz w:val="20"/>
              <w:szCs w:val="20"/>
            </w:rPr>
          </w:r>
          <w:r w:rsidRPr="006F055D">
            <w:rPr>
              <w:rStyle w:val="Hyperlink"/>
              <w:b w:val="0"/>
              <w:bCs w:val="0"/>
              <w:noProof/>
              <w:sz w:val="20"/>
              <w:szCs w:val="20"/>
            </w:rPr>
            <w:fldChar w:fldCharType="separate"/>
          </w:r>
          <w:r w:rsidRPr="006F055D">
            <w:rPr>
              <w:rStyle w:val="Hyperlink"/>
              <w:b w:val="0"/>
              <w:bCs w:val="0"/>
              <w:noProof/>
              <w:sz w:val="20"/>
              <w:szCs w:val="20"/>
            </w:rPr>
            <w:t>6.</w:t>
          </w:r>
          <w:r w:rsidRPr="006F055D">
            <w:rPr>
              <w:rFonts w:cstheme="minorBidi"/>
              <w:b w:val="0"/>
              <w:bCs w:val="0"/>
              <w:noProof/>
              <w:color w:val="auto"/>
              <w:sz w:val="20"/>
              <w:szCs w:val="20"/>
            </w:rPr>
            <w:tab/>
          </w:r>
          <w:r w:rsidRPr="006F055D">
            <w:rPr>
              <w:rStyle w:val="Hyperlink"/>
              <w:b w:val="0"/>
              <w:bCs w:val="0"/>
              <w:noProof/>
              <w:sz w:val="20"/>
              <w:szCs w:val="20"/>
            </w:rPr>
            <w:t>Risk acceptance criteria</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_Toc94210254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6</w:t>
          </w:r>
          <w:r w:rsidRPr="006F055D">
            <w:rPr>
              <w:b w:val="0"/>
              <w:bCs w:val="0"/>
              <w:noProof/>
              <w:webHidden/>
              <w:sz w:val="20"/>
              <w:szCs w:val="20"/>
            </w:rPr>
            <w:fldChar w:fldCharType="end"/>
          </w:r>
          <w:r w:rsidRPr="006F055D">
            <w:rPr>
              <w:rStyle w:val="Hyperlink"/>
              <w:b w:val="0"/>
              <w:bCs w:val="0"/>
              <w:noProof/>
              <w:sz w:val="20"/>
              <w:szCs w:val="20"/>
            </w:rPr>
            <w:fldChar w:fldCharType="end"/>
          </w:r>
        </w:p>
        <w:p w14:paraId="683F4DB0" w14:textId="7500D926"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5" w:history="1">
            <w:r w:rsidRPr="006F055D">
              <w:rPr>
                <w:rStyle w:val="Hyperlink"/>
                <w:b w:val="0"/>
                <w:bCs w:val="0"/>
                <w:noProof/>
                <w:sz w:val="20"/>
                <w:szCs w:val="20"/>
              </w:rPr>
              <w:t>7.</w:t>
            </w:r>
            <w:r w:rsidRPr="006F055D">
              <w:rPr>
                <w:rFonts w:cstheme="minorBidi"/>
                <w:b w:val="0"/>
                <w:bCs w:val="0"/>
                <w:noProof/>
                <w:color w:val="auto"/>
                <w:sz w:val="20"/>
                <w:szCs w:val="20"/>
              </w:rPr>
              <w:tab/>
            </w:r>
            <w:r w:rsidRPr="006F055D">
              <w:rPr>
                <w:rStyle w:val="Hyperlink"/>
                <w:b w:val="0"/>
                <w:bCs w:val="0"/>
                <w:noProof/>
                <w:sz w:val="20"/>
                <w:szCs w:val="20"/>
              </w:rPr>
              <w:t>Closed Risks</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_Toc94210255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7</w:t>
            </w:r>
            <w:r w:rsidRPr="006F055D">
              <w:rPr>
                <w:b w:val="0"/>
                <w:bCs w:val="0"/>
                <w:noProof/>
                <w:webHidden/>
                <w:sz w:val="20"/>
                <w:szCs w:val="20"/>
              </w:rPr>
              <w:fldChar w:fldCharType="end"/>
            </w:r>
          </w:hyperlink>
        </w:p>
        <w:p w14:paraId="5F944BF3" w14:textId="7153DAF1"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6" w:history="1">
            <w:r w:rsidRPr="006F055D">
              <w:rPr>
                <w:rStyle w:val="Hyperlink"/>
                <w:b w:val="0"/>
                <w:bCs w:val="0"/>
                <w:noProof/>
                <w:sz w:val="20"/>
                <w:szCs w:val="20"/>
              </w:rPr>
              <w:t>8.</w:t>
            </w:r>
            <w:r w:rsidRPr="006F055D">
              <w:rPr>
                <w:rFonts w:cstheme="minorBidi"/>
                <w:b w:val="0"/>
                <w:bCs w:val="0"/>
                <w:noProof/>
                <w:color w:val="auto"/>
                <w:sz w:val="20"/>
                <w:szCs w:val="20"/>
              </w:rPr>
              <w:tab/>
            </w:r>
            <w:r w:rsidRPr="006F055D">
              <w:rPr>
                <w:rStyle w:val="Hyperlink"/>
                <w:b w:val="0"/>
                <w:bCs w:val="0"/>
                <w:noProof/>
                <w:sz w:val="20"/>
                <w:szCs w:val="20"/>
              </w:rPr>
              <w:t>Opportunities</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_Toc94210256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7</w:t>
            </w:r>
            <w:r w:rsidRPr="006F055D">
              <w:rPr>
                <w:b w:val="0"/>
                <w:bCs w:val="0"/>
                <w:noProof/>
                <w:webHidden/>
                <w:sz w:val="20"/>
                <w:szCs w:val="20"/>
              </w:rPr>
              <w:fldChar w:fldCharType="end"/>
            </w:r>
          </w:hyperlink>
        </w:p>
        <w:p w14:paraId="5732A283" w14:textId="058B8262" w:rsidR="006F055D" w:rsidRPr="006F055D" w:rsidRDefault="006F055D" w:rsidP="006F055D">
          <w:pPr>
            <w:pStyle w:val="TOC2"/>
            <w:tabs>
              <w:tab w:val="left" w:pos="660"/>
              <w:tab w:val="right" w:leader="dot" w:pos="9016"/>
            </w:tabs>
            <w:spacing w:before="0" w:afterAutospacing="0" w:line="240" w:lineRule="auto"/>
            <w:ind w:left="221"/>
            <w:rPr>
              <w:rFonts w:cstheme="minorBidi"/>
              <w:b w:val="0"/>
              <w:bCs w:val="0"/>
              <w:noProof/>
              <w:color w:val="auto"/>
              <w:sz w:val="20"/>
              <w:szCs w:val="20"/>
            </w:rPr>
          </w:pPr>
          <w:hyperlink w:anchor="_Toc94210257" w:history="1">
            <w:r w:rsidRPr="006F055D">
              <w:rPr>
                <w:rStyle w:val="Hyperlink"/>
                <w:b w:val="0"/>
                <w:bCs w:val="0"/>
                <w:noProof/>
                <w:sz w:val="20"/>
                <w:szCs w:val="20"/>
              </w:rPr>
              <w:t>9.</w:t>
            </w:r>
            <w:r w:rsidRPr="006F055D">
              <w:rPr>
                <w:rFonts w:cstheme="minorBidi"/>
                <w:b w:val="0"/>
                <w:bCs w:val="0"/>
                <w:noProof/>
                <w:color w:val="auto"/>
                <w:sz w:val="20"/>
                <w:szCs w:val="20"/>
              </w:rPr>
              <w:tab/>
            </w:r>
            <w:r w:rsidRPr="006F055D">
              <w:rPr>
                <w:rStyle w:val="Hyperlink"/>
                <w:b w:val="0"/>
                <w:bCs w:val="0"/>
                <w:noProof/>
                <w:sz w:val="20"/>
                <w:szCs w:val="20"/>
              </w:rPr>
              <w:t>Applicable legislation &amp; regulation risk assessment</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_Toc94210257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8</w:t>
            </w:r>
            <w:r w:rsidRPr="006F055D">
              <w:rPr>
                <w:b w:val="0"/>
                <w:bCs w:val="0"/>
                <w:noProof/>
                <w:webHidden/>
                <w:sz w:val="20"/>
                <w:szCs w:val="20"/>
              </w:rPr>
              <w:fldChar w:fldCharType="end"/>
            </w:r>
          </w:hyperlink>
        </w:p>
        <w:p w14:paraId="4C915162" w14:textId="2207692B" w:rsidR="006F055D" w:rsidRPr="006F055D" w:rsidRDefault="006F055D" w:rsidP="006F055D">
          <w:pPr>
            <w:pStyle w:val="TOC2"/>
            <w:tabs>
              <w:tab w:val="left" w:pos="880"/>
              <w:tab w:val="right" w:leader="dot" w:pos="9016"/>
            </w:tabs>
            <w:spacing w:before="0" w:afterAutospacing="0" w:line="240" w:lineRule="auto"/>
            <w:ind w:left="221"/>
            <w:rPr>
              <w:rFonts w:cstheme="minorBidi"/>
              <w:b w:val="0"/>
              <w:bCs w:val="0"/>
              <w:noProof/>
              <w:color w:val="auto"/>
              <w:sz w:val="20"/>
              <w:szCs w:val="20"/>
            </w:rPr>
          </w:pPr>
          <w:hyperlink w:anchor="_Toc94210258" w:history="1">
            <w:r w:rsidRPr="006F055D">
              <w:rPr>
                <w:rStyle w:val="Hyperlink"/>
                <w:b w:val="0"/>
                <w:bCs w:val="0"/>
                <w:noProof/>
                <w:sz w:val="20"/>
                <w:szCs w:val="20"/>
              </w:rPr>
              <w:t>10.</w:t>
            </w:r>
            <w:r w:rsidRPr="006F055D">
              <w:rPr>
                <w:rFonts w:cstheme="minorBidi"/>
                <w:b w:val="0"/>
                <w:bCs w:val="0"/>
                <w:noProof/>
                <w:color w:val="auto"/>
                <w:sz w:val="20"/>
                <w:szCs w:val="20"/>
              </w:rPr>
              <w:t xml:space="preserve">   </w:t>
            </w:r>
            <w:r w:rsidRPr="006F055D">
              <w:rPr>
                <w:rStyle w:val="Hyperlink"/>
                <w:b w:val="0"/>
                <w:bCs w:val="0"/>
                <w:noProof/>
                <w:sz w:val="20"/>
                <w:szCs w:val="20"/>
              </w:rPr>
              <w:t>Alignment with other important risk-based processes</w:t>
            </w:r>
            <w:r w:rsidRPr="006F055D">
              <w:rPr>
                <w:b w:val="0"/>
                <w:bCs w:val="0"/>
                <w:noProof/>
                <w:webHidden/>
                <w:sz w:val="20"/>
                <w:szCs w:val="20"/>
              </w:rPr>
              <w:tab/>
            </w:r>
            <w:r w:rsidRPr="006F055D">
              <w:rPr>
                <w:b w:val="0"/>
                <w:bCs w:val="0"/>
                <w:noProof/>
                <w:webHidden/>
                <w:sz w:val="20"/>
                <w:szCs w:val="20"/>
              </w:rPr>
              <w:fldChar w:fldCharType="begin"/>
            </w:r>
            <w:r w:rsidRPr="006F055D">
              <w:rPr>
                <w:b w:val="0"/>
                <w:bCs w:val="0"/>
                <w:noProof/>
                <w:webHidden/>
                <w:sz w:val="20"/>
                <w:szCs w:val="20"/>
              </w:rPr>
              <w:instrText xml:space="preserve"> PAGEREF _Toc94210258 \h </w:instrText>
            </w:r>
            <w:r w:rsidRPr="006F055D">
              <w:rPr>
                <w:b w:val="0"/>
                <w:bCs w:val="0"/>
                <w:noProof/>
                <w:webHidden/>
                <w:sz w:val="20"/>
                <w:szCs w:val="20"/>
              </w:rPr>
            </w:r>
            <w:r w:rsidRPr="006F055D">
              <w:rPr>
                <w:b w:val="0"/>
                <w:bCs w:val="0"/>
                <w:noProof/>
                <w:webHidden/>
                <w:sz w:val="20"/>
                <w:szCs w:val="20"/>
              </w:rPr>
              <w:fldChar w:fldCharType="separate"/>
            </w:r>
            <w:r w:rsidRPr="006F055D">
              <w:rPr>
                <w:b w:val="0"/>
                <w:bCs w:val="0"/>
                <w:noProof/>
                <w:webHidden/>
                <w:sz w:val="20"/>
                <w:szCs w:val="20"/>
              </w:rPr>
              <w:t>9</w:t>
            </w:r>
            <w:r w:rsidRPr="006F055D">
              <w:rPr>
                <w:b w:val="0"/>
                <w:bCs w:val="0"/>
                <w:noProof/>
                <w:webHidden/>
                <w:sz w:val="20"/>
                <w:szCs w:val="20"/>
              </w:rPr>
              <w:fldChar w:fldCharType="end"/>
            </w:r>
          </w:hyperlink>
        </w:p>
        <w:p w14:paraId="5CCE5B98" w14:textId="7560908B" w:rsidR="00D14A81" w:rsidRDefault="00D14A81">
          <w:r w:rsidRPr="00D14A81">
            <w:rPr>
              <w:rFonts w:asciiTheme="majorHAnsi" w:hAnsiTheme="majorHAnsi" w:cstheme="majorHAnsi"/>
              <w:noProof/>
            </w:rPr>
            <w:fldChar w:fldCharType="end"/>
          </w:r>
        </w:p>
      </w:sdtContent>
    </w:sdt>
    <w:p w14:paraId="3F228DC1" w14:textId="1E60B9D3" w:rsidR="008E0411" w:rsidRPr="00D14A81" w:rsidRDefault="002D6E51" w:rsidP="006269CA">
      <w:pPr>
        <w:pStyle w:val="Heading2"/>
      </w:pPr>
      <w:bookmarkStart w:id="2" w:name="_Toc94210249"/>
      <w:r w:rsidRPr="00D14A81">
        <w:t>Purpose</w:t>
      </w:r>
      <w:bookmarkEnd w:id="2"/>
    </w:p>
    <w:p w14:paraId="4F836FAD" w14:textId="5B6BBA72" w:rsidR="00E700A5" w:rsidRDefault="00E700A5" w:rsidP="00145004">
      <w:r>
        <w:t xml:space="preserve">The purpose of this document is to set out our approach to risk assessment and treatment </w:t>
      </w:r>
      <w:r w:rsidR="0070031E">
        <w:t>in regard to c</w:t>
      </w:r>
      <w:r>
        <w:t>ompliance with ISO 27001</w:t>
      </w:r>
      <w:r w:rsidR="00C73404">
        <w:t>:</w:t>
      </w:r>
      <w:r>
        <w:t xml:space="preserve"> 2013 and other standards as required.</w:t>
      </w:r>
      <w:r w:rsidR="0099328D">
        <w:t xml:space="preserve"> </w:t>
      </w:r>
      <w:r>
        <w:t xml:space="preserve">It also draws on practices within risk management focused ISO 31000. </w:t>
      </w:r>
    </w:p>
    <w:p w14:paraId="5C59FDA0" w14:textId="5E826530" w:rsidR="009F57BD" w:rsidRPr="009F57BD" w:rsidRDefault="00E700A5" w:rsidP="00C86CD8">
      <w:pPr>
        <w:rPr>
          <w:rFonts w:asciiTheme="minorHAnsi" w:eastAsiaTheme="minorHAnsi" w:hAnsiTheme="minorHAnsi" w:cstheme="minorHAnsi"/>
        </w:rPr>
      </w:pPr>
      <w:r>
        <w:t>The policy reflects how we run our normal day-to-day business from a risk perspective</w:t>
      </w:r>
      <w:r w:rsidR="0070031E">
        <w:t xml:space="preserve">, </w:t>
      </w:r>
      <w:r w:rsidR="00C86CD8">
        <w:t>using</w:t>
      </w:r>
      <w:r w:rsidR="00F77EB0">
        <w:t xml:space="preserve"> t</w:t>
      </w:r>
      <w:r w:rsidR="009F57BD" w:rsidRPr="009F57BD">
        <w:rPr>
          <w:rFonts w:asciiTheme="minorHAnsi" w:eastAsiaTheme="minorHAnsi" w:hAnsiTheme="minorHAnsi" w:cstheme="minorHAnsi"/>
        </w:rPr>
        <w:t xml:space="preserve">he </w:t>
      </w:r>
      <w:r w:rsidR="00E56883">
        <w:rPr>
          <w:rFonts w:asciiTheme="minorHAnsi" w:eastAsiaTheme="minorHAnsi" w:hAnsiTheme="minorHAnsi" w:cstheme="minorHAnsi"/>
          <w:bCs/>
          <w:lang w:val="en-US"/>
        </w:rPr>
        <w:t>Risks</w:t>
      </w:r>
      <w:r w:rsidR="00C73404">
        <w:rPr>
          <w:rFonts w:asciiTheme="minorHAnsi" w:eastAsiaTheme="minorHAnsi" w:hAnsiTheme="minorHAnsi" w:cstheme="minorHAnsi"/>
          <w:bCs/>
          <w:lang w:val="en-US"/>
        </w:rPr>
        <w:t xml:space="preserve"> &amp; </w:t>
      </w:r>
      <w:r w:rsidR="009F57BD" w:rsidRPr="009F57BD">
        <w:rPr>
          <w:rFonts w:asciiTheme="minorHAnsi" w:eastAsiaTheme="minorHAnsi" w:hAnsiTheme="minorHAnsi" w:cstheme="minorHAnsi"/>
          <w:bCs/>
          <w:lang w:val="en-US"/>
        </w:rPr>
        <w:t>Treatment</w:t>
      </w:r>
      <w:r w:rsidR="00C73404">
        <w:rPr>
          <w:rFonts w:asciiTheme="minorHAnsi" w:eastAsiaTheme="minorHAnsi" w:hAnsiTheme="minorHAnsi" w:cstheme="minorHAnsi"/>
          <w:bCs/>
          <w:lang w:val="en-US"/>
        </w:rPr>
        <w:t>s</w:t>
      </w:r>
      <w:r w:rsidR="009F57BD" w:rsidRPr="009F57BD">
        <w:rPr>
          <w:rFonts w:asciiTheme="minorHAnsi" w:eastAsiaTheme="minorHAnsi" w:hAnsiTheme="minorHAnsi" w:cstheme="minorHAnsi"/>
          <w:bCs/>
          <w:lang w:val="en-US"/>
        </w:rPr>
        <w:t xml:space="preserve"> </w:t>
      </w:r>
      <w:r w:rsidR="00D14A81">
        <w:rPr>
          <w:rFonts w:asciiTheme="minorHAnsi" w:eastAsiaTheme="minorHAnsi" w:hAnsiTheme="minorHAnsi" w:cstheme="minorHAnsi"/>
          <w:bCs/>
          <w:lang w:val="en-US"/>
        </w:rPr>
        <w:t>tool</w:t>
      </w:r>
      <w:r w:rsidR="00C86CD8">
        <w:rPr>
          <w:rFonts w:asciiTheme="minorHAnsi" w:eastAsiaTheme="minorHAnsi" w:hAnsiTheme="minorHAnsi" w:cstheme="minorHAnsi"/>
          <w:bCs/>
          <w:lang w:val="en-US"/>
        </w:rPr>
        <w:t>.</w:t>
      </w:r>
    </w:p>
    <w:p w14:paraId="66B1348A" w14:textId="04B12B0B" w:rsidR="00E700A5" w:rsidRDefault="00F77EB0" w:rsidP="00145004">
      <w:r>
        <w:t xml:space="preserve">Clause 6.1 of </w:t>
      </w:r>
      <w:r w:rsidR="00E700A5">
        <w:t>ISO 27001</w:t>
      </w:r>
      <w:r w:rsidR="00C73404">
        <w:t>:</w:t>
      </w:r>
      <w:r w:rsidR="00E700A5">
        <w:t xml:space="preserve"> 2013 is very clear that the approach towards addressing risks and opportunities is about </w:t>
      </w:r>
      <w:r w:rsidR="00E700A5" w:rsidRPr="00FE2497">
        <w:rPr>
          <w:u w:val="single"/>
        </w:rPr>
        <w:t>information security</w:t>
      </w:r>
      <w:r w:rsidR="00E700A5">
        <w:t>. As such</w:t>
      </w:r>
      <w:r w:rsidR="0070031E">
        <w:t xml:space="preserve">, </w:t>
      </w:r>
      <w:r w:rsidR="00E700A5">
        <w:t>our approach incorporates a more holistic perspective</w:t>
      </w:r>
      <w:r w:rsidR="0070031E">
        <w:t xml:space="preserve">, </w:t>
      </w:r>
      <w:r w:rsidR="00E700A5">
        <w:t xml:space="preserve">which is described in detail further in this methodology and summarised in the image below. </w:t>
      </w:r>
    </w:p>
    <w:p w14:paraId="37397291" w14:textId="7B17B941" w:rsidR="00E700A5" w:rsidRDefault="00E700A5" w:rsidP="00E700A5">
      <w:pPr>
        <w:pStyle w:val="Default"/>
        <w:rPr>
          <w:rFonts w:ascii="Verdana" w:hAnsi="Verdana"/>
          <w:sz w:val="20"/>
          <w:szCs w:val="20"/>
        </w:rPr>
      </w:pPr>
      <w:r>
        <w:rPr>
          <w:noProof/>
        </w:rPr>
        <mc:AlternateContent>
          <mc:Choice Requires="wpg">
            <w:drawing>
              <wp:anchor distT="0" distB="0" distL="114300" distR="114300" simplePos="0" relativeHeight="251657216" behindDoc="0" locked="0" layoutInCell="1" allowOverlap="1" wp14:anchorId="08322A5E" wp14:editId="4EFE6BF9">
                <wp:simplePos x="0" y="0"/>
                <wp:positionH relativeFrom="column">
                  <wp:posOffset>819405</wp:posOffset>
                </wp:positionH>
                <wp:positionV relativeFrom="paragraph">
                  <wp:posOffset>184785</wp:posOffset>
                </wp:positionV>
                <wp:extent cx="4229100" cy="2057400"/>
                <wp:effectExtent l="0" t="0" r="12700" b="12700"/>
                <wp:wrapTopAndBottom/>
                <wp:docPr id="2" name="Group 2"/>
                <wp:cNvGraphicFramePr/>
                <a:graphic xmlns:a="http://schemas.openxmlformats.org/drawingml/2006/main">
                  <a:graphicData uri="http://schemas.microsoft.com/office/word/2010/wordprocessingGroup">
                    <wpg:wgp>
                      <wpg:cNvGrpSpPr/>
                      <wpg:grpSpPr>
                        <a:xfrm>
                          <a:off x="0" y="0"/>
                          <a:ext cx="4229100" cy="2057400"/>
                          <a:chOff x="-137160" y="0"/>
                          <a:chExt cx="5074920" cy="274320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3" name="Process 3"/>
                        <wps:cNvSpPr/>
                        <wps:spPr>
                          <a:xfrm>
                            <a:off x="3543300" y="228600"/>
                            <a:ext cx="1394460" cy="2171700"/>
                          </a:xfrm>
                          <a:prstGeom prst="flowChartProcess">
                            <a:avLst/>
                          </a:prstGeom>
                          <a:gradFill flip="none" rotWithShape="1">
                            <a:gsLst>
                              <a:gs pos="0">
                                <a:srgbClr val="1C1650">
                                  <a:tint val="66000"/>
                                  <a:satMod val="160000"/>
                                </a:srgbClr>
                              </a:gs>
                              <a:gs pos="50000">
                                <a:srgbClr val="1C1650">
                                  <a:tint val="44500"/>
                                  <a:satMod val="160000"/>
                                </a:srgbClr>
                              </a:gs>
                              <a:gs pos="100000">
                                <a:srgbClr val="1C1650">
                                  <a:tint val="23500"/>
                                  <a:satMod val="160000"/>
                                </a:srgbClr>
                              </a:gs>
                            </a:gsLst>
                            <a:lin ang="16200000" scaled="1"/>
                            <a:tileRect/>
                          </a:gradFill>
                          <a:ln w="12700" cmpd="sng">
                            <a:solidFill>
                              <a:srgbClr val="1C1650"/>
                            </a:solidFill>
                            <a:prstDash val="dash"/>
                          </a:ln>
                        </wps:spPr>
                        <wps:style>
                          <a:lnRef idx="2">
                            <a:schemeClr val="accent5"/>
                          </a:lnRef>
                          <a:fillRef idx="1">
                            <a:schemeClr val="lt1"/>
                          </a:fillRef>
                          <a:effectRef idx="0">
                            <a:schemeClr val="accent5"/>
                          </a:effectRef>
                          <a:fontRef idx="minor">
                            <a:schemeClr val="dk1"/>
                          </a:fontRef>
                        </wps:style>
                        <wps:txbx>
                          <w:txbxContent>
                            <w:p w14:paraId="580599F2" w14:textId="77777777" w:rsidR="00D44D37" w:rsidRPr="00BA6572" w:rsidRDefault="00D44D37" w:rsidP="00354A3B">
                              <w:pPr>
                                <w:spacing w:before="0"/>
                                <w:contextualSpacing/>
                                <w:jc w:val="center"/>
                                <w:rPr>
                                  <w:sz w:val="20"/>
                                </w:rPr>
                              </w:pPr>
                              <w:r w:rsidRPr="00BA6572">
                                <w:rPr>
                                  <w:sz w:val="20"/>
                                </w:rPr>
                                <w:t>Monitoring</w:t>
                              </w:r>
                            </w:p>
                            <w:p w14:paraId="69EFB61F" w14:textId="77777777" w:rsidR="00D44D37" w:rsidRPr="00BA6572" w:rsidRDefault="00D44D37" w:rsidP="00354A3B">
                              <w:pPr>
                                <w:spacing w:before="0"/>
                                <w:contextualSpacing/>
                                <w:jc w:val="center"/>
                                <w:rPr>
                                  <w:sz w:val="20"/>
                                </w:rPr>
                              </w:pPr>
                              <w:r w:rsidRPr="00BA6572">
                                <w:rPr>
                                  <w:sz w:val="20"/>
                                </w:rPr>
                                <w:t>and</w:t>
                              </w:r>
                            </w:p>
                            <w:p w14:paraId="2C2AC1F8" w14:textId="77777777" w:rsidR="00D44D37" w:rsidRPr="00BA6572" w:rsidRDefault="00D44D37" w:rsidP="00354A3B">
                              <w:pPr>
                                <w:spacing w:before="0"/>
                                <w:contextualSpacing/>
                                <w:jc w:val="center"/>
                                <w:rPr>
                                  <w:sz w:val="20"/>
                                </w:rPr>
                              </w:pPr>
                              <w:r w:rsidRPr="00BA6572">
                                <w:rPr>
                                  <w:sz w:val="20"/>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cess 4"/>
                        <wps:cNvSpPr/>
                        <wps:spPr>
                          <a:xfrm>
                            <a:off x="1485900" y="457200"/>
                            <a:ext cx="1828800" cy="1828800"/>
                          </a:xfrm>
                          <a:prstGeom prst="flowChartProcess">
                            <a:avLst/>
                          </a:prstGeom>
                          <a:ln>
                            <a:solidFill>
                              <a:srgbClr val="1C1650"/>
                            </a:solidFill>
                          </a:ln>
                        </wps:spPr>
                        <wps:style>
                          <a:lnRef idx="2">
                            <a:schemeClr val="accent1"/>
                          </a:lnRef>
                          <a:fillRef idx="1">
                            <a:schemeClr val="lt1"/>
                          </a:fillRef>
                          <a:effectRef idx="0">
                            <a:schemeClr val="accent1"/>
                          </a:effectRef>
                          <a:fontRef idx="minor">
                            <a:schemeClr val="dk1"/>
                          </a:fontRef>
                        </wps:style>
                        <wps:txbx>
                          <w:txbxContent>
                            <w:p w14:paraId="7F60007C" w14:textId="46A23ED1" w:rsidR="00D44D37" w:rsidRPr="00BA6572" w:rsidRDefault="00D44D37" w:rsidP="00354A3B">
                              <w:pPr>
                                <w:spacing w:before="0"/>
                                <w:jc w:val="center"/>
                              </w:pPr>
                              <w:r w:rsidRPr="00BA6572">
                                <w:rPr>
                                  <w:sz w:val="16"/>
                                  <w:szCs w:val="16"/>
                                </w:rPr>
                                <w:t>Risk assessment internal</w:t>
                              </w:r>
                              <w:r>
                                <w:rPr>
                                  <w:sz w:val="16"/>
                                  <w:szCs w:val="16"/>
                                </w:rPr>
                                <w:t>ly</w:t>
                              </w:r>
                              <w:r w:rsidRPr="00BA6572">
                                <w:rPr>
                                  <w:sz w:val="16"/>
                                  <w:szCs w:val="16"/>
                                </w:rPr>
                                <w:t xml:space="preserve"> and external</w:t>
                              </w:r>
                              <w:r>
                                <w:rPr>
                                  <w:sz w:val="16"/>
                                  <w:szCs w:val="16"/>
                                </w:rPr>
                                <w: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Process 5"/>
                        <wps:cNvSpPr/>
                        <wps:spPr>
                          <a:xfrm>
                            <a:off x="1600200" y="1371600"/>
                            <a:ext cx="1600200" cy="342900"/>
                          </a:xfrm>
                          <a:prstGeom prst="flowChartProcess">
                            <a:avLst/>
                          </a:prstGeom>
                          <a:ln w="12700" cmpd="sng">
                            <a:solidFill>
                              <a:srgbClr val="1C1650"/>
                            </a:solidFill>
                          </a:ln>
                        </wps:spPr>
                        <wps:style>
                          <a:lnRef idx="2">
                            <a:schemeClr val="accent5"/>
                          </a:lnRef>
                          <a:fillRef idx="1">
                            <a:schemeClr val="lt1"/>
                          </a:fillRef>
                          <a:effectRef idx="0">
                            <a:schemeClr val="accent5"/>
                          </a:effectRef>
                          <a:fontRef idx="minor">
                            <a:schemeClr val="dk1"/>
                          </a:fontRef>
                        </wps:style>
                        <wps:txbx>
                          <w:txbxContent>
                            <w:p w14:paraId="20FF9A7F" w14:textId="77777777" w:rsidR="00D44D37" w:rsidRPr="00354A3B" w:rsidRDefault="00D44D37" w:rsidP="00354A3B">
                              <w:pPr>
                                <w:spacing w:before="0"/>
                                <w:jc w:val="center"/>
                                <w:rPr>
                                  <w:sz w:val="20"/>
                                  <w:szCs w:val="20"/>
                                </w:rPr>
                              </w:pPr>
                              <w:r w:rsidRPr="00354A3B">
                                <w:rPr>
                                  <w:sz w:val="20"/>
                                  <w:szCs w:val="20"/>
                                </w:rP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1600200" y="914400"/>
                            <a:ext cx="1600200" cy="342900"/>
                          </a:xfrm>
                          <a:prstGeom prst="flowChartProcess">
                            <a:avLst/>
                          </a:prstGeom>
                          <a:ln w="12700" cmpd="sng">
                            <a:solidFill>
                              <a:srgbClr val="1C1650"/>
                            </a:solidFill>
                          </a:ln>
                        </wps:spPr>
                        <wps:style>
                          <a:lnRef idx="2">
                            <a:schemeClr val="accent5"/>
                          </a:lnRef>
                          <a:fillRef idx="1">
                            <a:schemeClr val="lt1"/>
                          </a:fillRef>
                          <a:effectRef idx="0">
                            <a:schemeClr val="accent5"/>
                          </a:effectRef>
                          <a:fontRef idx="minor">
                            <a:schemeClr val="dk1"/>
                          </a:fontRef>
                        </wps:style>
                        <wps:txbx>
                          <w:txbxContent>
                            <w:p w14:paraId="08D6C0F3" w14:textId="77777777" w:rsidR="00D44D37" w:rsidRPr="00354A3B" w:rsidRDefault="00D44D37" w:rsidP="00354A3B">
                              <w:pPr>
                                <w:spacing w:before="0"/>
                                <w:jc w:val="center"/>
                                <w:rPr>
                                  <w:sz w:val="20"/>
                                  <w:szCs w:val="20"/>
                                </w:rPr>
                              </w:pPr>
                              <w:r w:rsidRPr="00354A3B">
                                <w:rPr>
                                  <w:sz w:val="20"/>
                                  <w:szCs w:val="20"/>
                                </w:rPr>
                                <w:t>Risk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ocess 7"/>
                        <wps:cNvSpPr/>
                        <wps:spPr>
                          <a:xfrm>
                            <a:off x="1600200" y="1828800"/>
                            <a:ext cx="1600200" cy="342900"/>
                          </a:xfrm>
                          <a:prstGeom prst="flowChartProcess">
                            <a:avLst/>
                          </a:prstGeom>
                          <a:ln w="12700" cmpd="sng">
                            <a:solidFill>
                              <a:srgbClr val="1C1650"/>
                            </a:solidFill>
                          </a:ln>
                        </wps:spPr>
                        <wps:style>
                          <a:lnRef idx="2">
                            <a:schemeClr val="accent5"/>
                          </a:lnRef>
                          <a:fillRef idx="1">
                            <a:schemeClr val="lt1"/>
                          </a:fillRef>
                          <a:effectRef idx="0">
                            <a:schemeClr val="accent5"/>
                          </a:effectRef>
                          <a:fontRef idx="minor">
                            <a:schemeClr val="dk1"/>
                          </a:fontRef>
                        </wps:style>
                        <wps:txbx>
                          <w:txbxContent>
                            <w:p w14:paraId="31B4D058" w14:textId="77777777" w:rsidR="00D44D37" w:rsidRPr="00354A3B" w:rsidRDefault="00D44D37" w:rsidP="00354A3B">
                              <w:pPr>
                                <w:spacing w:before="0"/>
                                <w:jc w:val="center"/>
                                <w:rPr>
                                  <w:sz w:val="20"/>
                                  <w:szCs w:val="20"/>
                                </w:rPr>
                              </w:pPr>
                              <w:r w:rsidRPr="00354A3B">
                                <w:rPr>
                                  <w:sz w:val="20"/>
                                  <w:szCs w:val="20"/>
                                </w:rPr>
                                <w:t>Risk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rocess 8"/>
                        <wps:cNvSpPr/>
                        <wps:spPr>
                          <a:xfrm>
                            <a:off x="1600200" y="2400300"/>
                            <a:ext cx="1600200" cy="342900"/>
                          </a:xfrm>
                          <a:prstGeom prst="flowChartProcess">
                            <a:avLst/>
                          </a:prstGeom>
                          <a:ln w="12700" cmpd="sng">
                            <a:solidFill>
                              <a:srgbClr val="1C1650"/>
                            </a:solidFill>
                          </a:ln>
                        </wps:spPr>
                        <wps:style>
                          <a:lnRef idx="2">
                            <a:schemeClr val="accent5"/>
                          </a:lnRef>
                          <a:fillRef idx="1">
                            <a:schemeClr val="lt1"/>
                          </a:fillRef>
                          <a:effectRef idx="0">
                            <a:schemeClr val="accent5"/>
                          </a:effectRef>
                          <a:fontRef idx="minor">
                            <a:schemeClr val="dk1"/>
                          </a:fontRef>
                        </wps:style>
                        <wps:txbx>
                          <w:txbxContent>
                            <w:p w14:paraId="00A97DF0" w14:textId="77777777" w:rsidR="00D44D37" w:rsidRPr="00354A3B" w:rsidRDefault="00D44D37" w:rsidP="00354A3B">
                              <w:pPr>
                                <w:spacing w:before="0"/>
                                <w:jc w:val="center"/>
                                <w:rPr>
                                  <w:sz w:val="20"/>
                                  <w:szCs w:val="20"/>
                                </w:rPr>
                              </w:pPr>
                              <w:r w:rsidRPr="00354A3B">
                                <w:rPr>
                                  <w:sz w:val="20"/>
                                  <w:szCs w:val="20"/>
                                </w:rPr>
                                <w:t>Risk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s 9"/>
                        <wps:cNvSpPr/>
                        <wps:spPr>
                          <a:xfrm>
                            <a:off x="-137160" y="227753"/>
                            <a:ext cx="1371600" cy="2171700"/>
                          </a:xfrm>
                          <a:prstGeom prst="flowChartProcess">
                            <a:avLst/>
                          </a:prstGeom>
                          <a:gradFill flip="none" rotWithShape="1">
                            <a:gsLst>
                              <a:gs pos="0">
                                <a:srgbClr val="1C1650">
                                  <a:tint val="66000"/>
                                  <a:satMod val="160000"/>
                                </a:srgbClr>
                              </a:gs>
                              <a:gs pos="50000">
                                <a:srgbClr val="1C1650">
                                  <a:tint val="44500"/>
                                  <a:satMod val="160000"/>
                                </a:srgbClr>
                              </a:gs>
                              <a:gs pos="100000">
                                <a:srgbClr val="1C1650">
                                  <a:tint val="23500"/>
                                  <a:satMod val="160000"/>
                                </a:srgbClr>
                              </a:gs>
                            </a:gsLst>
                            <a:lin ang="16200000" scaled="1"/>
                            <a:tileRect/>
                          </a:gradFill>
                          <a:ln w="12700" cmpd="sng">
                            <a:solidFill>
                              <a:srgbClr val="1C1650"/>
                            </a:solidFill>
                            <a:prstDash val="dash"/>
                          </a:ln>
                        </wps:spPr>
                        <wps:style>
                          <a:lnRef idx="2">
                            <a:schemeClr val="accent5"/>
                          </a:lnRef>
                          <a:fillRef idx="1">
                            <a:schemeClr val="lt1"/>
                          </a:fillRef>
                          <a:effectRef idx="0">
                            <a:schemeClr val="accent5"/>
                          </a:effectRef>
                          <a:fontRef idx="minor">
                            <a:schemeClr val="dk1"/>
                          </a:fontRef>
                        </wps:style>
                        <wps:txbx>
                          <w:txbxContent>
                            <w:p w14:paraId="01511BFC" w14:textId="77777777" w:rsidR="00D44D37" w:rsidRPr="00BA6572" w:rsidRDefault="00D44D37" w:rsidP="00BA6572">
                              <w:pPr>
                                <w:jc w:val="center"/>
                                <w:rPr>
                                  <w:sz w:val="20"/>
                                </w:rPr>
                              </w:pPr>
                              <w:r w:rsidRPr="00BA6572">
                                <w:rPr>
                                  <w:sz w:val="20"/>
                                </w:rPr>
                                <w:t>Communication and consultation</w:t>
                              </w:r>
                            </w:p>
                            <w:p w14:paraId="1FAB4414" w14:textId="77777777" w:rsidR="00D44D37" w:rsidRDefault="00D44D37" w:rsidP="00BA6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cess 10"/>
                        <wps:cNvSpPr/>
                        <wps:spPr>
                          <a:xfrm>
                            <a:off x="1600200" y="0"/>
                            <a:ext cx="1600200" cy="342900"/>
                          </a:xfrm>
                          <a:prstGeom prst="flowChartProcess">
                            <a:avLst/>
                          </a:prstGeom>
                          <a:ln w="12700" cmpd="sng">
                            <a:solidFill>
                              <a:srgbClr val="1C1650"/>
                            </a:solidFill>
                          </a:ln>
                        </wps:spPr>
                        <wps:style>
                          <a:lnRef idx="2">
                            <a:schemeClr val="accent5"/>
                          </a:lnRef>
                          <a:fillRef idx="1">
                            <a:schemeClr val="lt1"/>
                          </a:fillRef>
                          <a:effectRef idx="0">
                            <a:schemeClr val="accent5"/>
                          </a:effectRef>
                          <a:fontRef idx="minor">
                            <a:schemeClr val="dk1"/>
                          </a:fontRef>
                        </wps:style>
                        <wps:txbx>
                          <w:txbxContent>
                            <w:p w14:paraId="085F74B8" w14:textId="77777777" w:rsidR="00D44D37" w:rsidRPr="00127D3E" w:rsidRDefault="00D44D37" w:rsidP="00354A3B">
                              <w:pPr>
                                <w:spacing w:before="0"/>
                                <w:jc w:val="center"/>
                                <w:rPr>
                                  <w:sz w:val="20"/>
                                  <w:szCs w:val="20"/>
                                </w:rPr>
                              </w:pPr>
                              <w:r w:rsidRPr="00127D3E">
                                <w:rPr>
                                  <w:sz w:val="20"/>
                                  <w:szCs w:val="20"/>
                                </w:rPr>
                                <w:t>Establish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400300" y="342900"/>
                            <a:ext cx="0" cy="114300"/>
                          </a:xfrm>
                          <a:prstGeom prst="straightConnector1">
                            <a:avLst/>
                          </a:prstGeom>
                          <a:ln w="12700">
                            <a:solidFill>
                              <a:srgbClr val="1C1650"/>
                            </a:solidFill>
                            <a:tailEnd type="arrow" w="sm" len="med"/>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2400300" y="1257300"/>
                            <a:ext cx="0" cy="114300"/>
                          </a:xfrm>
                          <a:prstGeom prst="straightConnector1">
                            <a:avLst/>
                          </a:prstGeom>
                          <a:ln w="12700">
                            <a:solidFill>
                              <a:srgbClr val="1C1650"/>
                            </a:solidFill>
                            <a:tailEnd type="arrow" w="sm" len="med"/>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a:off x="2400300" y="1714500"/>
                            <a:ext cx="0" cy="114300"/>
                          </a:xfrm>
                          <a:prstGeom prst="straightConnector1">
                            <a:avLst/>
                          </a:prstGeom>
                          <a:ln w="12700">
                            <a:solidFill>
                              <a:srgbClr val="1C1650"/>
                            </a:solidFill>
                            <a:tailEnd type="arrow" w="sm" len="med"/>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2400300" y="2286000"/>
                            <a:ext cx="0" cy="114300"/>
                          </a:xfrm>
                          <a:prstGeom prst="straightConnector1">
                            <a:avLst/>
                          </a:prstGeom>
                          <a:ln w="12700">
                            <a:solidFill>
                              <a:srgbClr val="1C1650"/>
                            </a:solidFill>
                            <a:tailEnd type="arrow" w="sm" len="med"/>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322A5E" id="Group 2" o:spid="_x0000_s1026" style="position:absolute;margin-left:64.5pt;margin-top:14.55pt;width:333pt;height:162pt;z-index:251657216;mso-width-relative:margin;mso-height-relative:margin" coordorigin="-1371" coordsize="50749,27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">
                <v:shapetype id="_x0000_t109" coordsize="21600,21600" o:spt="109" path="m,l,21600r21600,l21600,xe">
                  <v:stroke joinstyle="miter"/>
                  <v:path gradientshapeok="t" o:connecttype="rect"/>
                </v:shapetype>
                <v:shape id="Process 3" o:spid="_x0000_s1027" type="#_x0000_t109" style="position:absolute;left:35433;top:2286;width:13944;height:21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" fillcolor="#9d9cab" strokecolor="#1c1650" strokeweight="1pt">
                  <v:fill color2="#e2e2e6" rotate="t" angle="180" colors="0 #9d9cab;.5 #c4c4cc;1 #e2e2e6" focus="100%" type="gradient"/>
                  <v:stroke dashstyle="dash"/>
                  <v:textbox>
                    <w:txbxContent>
                      <w:p w14:paraId="580599F2" w14:textId="77777777" w:rsidR="00D44D37" w:rsidRPr="00BA6572" w:rsidRDefault="00D44D37" w:rsidP="00354A3B">
                        <w:pPr>
                          <w:spacing w:before="0"/>
                          <w:contextualSpacing/>
                          <w:jc w:val="center"/>
                          <w:rPr>
                            <w:sz w:val="20"/>
                          </w:rPr>
                        </w:pPr>
                        <w:r w:rsidRPr="00BA6572">
                          <w:rPr>
                            <w:sz w:val="20"/>
                          </w:rPr>
                          <w:t>Monitoring</w:t>
                        </w:r>
                      </w:p>
                      <w:p w14:paraId="69EFB61F" w14:textId="77777777" w:rsidR="00D44D37" w:rsidRPr="00BA6572" w:rsidRDefault="00D44D37" w:rsidP="00354A3B">
                        <w:pPr>
                          <w:spacing w:before="0"/>
                          <w:contextualSpacing/>
                          <w:jc w:val="center"/>
                          <w:rPr>
                            <w:sz w:val="20"/>
                          </w:rPr>
                        </w:pPr>
                        <w:r w:rsidRPr="00BA6572">
                          <w:rPr>
                            <w:sz w:val="20"/>
                          </w:rPr>
                          <w:t>and</w:t>
                        </w:r>
                      </w:p>
                      <w:p w14:paraId="2C2AC1F8" w14:textId="77777777" w:rsidR="00D44D37" w:rsidRPr="00BA6572" w:rsidRDefault="00D44D37" w:rsidP="00354A3B">
                        <w:pPr>
                          <w:spacing w:before="0"/>
                          <w:contextualSpacing/>
                          <w:jc w:val="center"/>
                          <w:rPr>
                            <w:sz w:val="20"/>
                          </w:rPr>
                        </w:pPr>
                        <w:r w:rsidRPr="00BA6572">
                          <w:rPr>
                            <w:sz w:val="20"/>
                          </w:rPr>
                          <w:t>review</w:t>
                        </w:r>
                      </w:p>
                    </w:txbxContent>
                  </v:textbox>
                </v:shape>
                <v:shape id="Process 4" o:spid="_x0000_s1028" type="#_x0000_t109" style="position:absolute;left:14859;top:4572;width:18288;height:18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" fillcolor="white [3201]" strokecolor="#1c1650" strokeweight="2pt">
                  <v:textbox>
                    <w:txbxContent>
                      <w:p w14:paraId="7F60007C" w14:textId="46A23ED1" w:rsidR="00D44D37" w:rsidRPr="00BA6572" w:rsidRDefault="00D44D37" w:rsidP="00354A3B">
                        <w:pPr>
                          <w:spacing w:before="0"/>
                          <w:jc w:val="center"/>
                        </w:pPr>
                        <w:r w:rsidRPr="00BA6572">
                          <w:rPr>
                            <w:sz w:val="16"/>
                            <w:szCs w:val="16"/>
                          </w:rPr>
                          <w:t>Risk assessment internal</w:t>
                        </w:r>
                        <w:r>
                          <w:rPr>
                            <w:sz w:val="16"/>
                            <w:szCs w:val="16"/>
                          </w:rPr>
                          <w:t>ly</w:t>
                        </w:r>
                        <w:r w:rsidRPr="00BA6572">
                          <w:rPr>
                            <w:sz w:val="16"/>
                            <w:szCs w:val="16"/>
                          </w:rPr>
                          <w:t xml:space="preserve"> and external</w:t>
                        </w:r>
                        <w:r>
                          <w:rPr>
                            <w:sz w:val="16"/>
                            <w:szCs w:val="16"/>
                          </w:rPr>
                          <w:t>ly</w:t>
                        </w:r>
                      </w:p>
                    </w:txbxContent>
                  </v:textbox>
                </v:shape>
                <v:shape id="Process 5" o:spid="_x0000_s1029" type="#_x0000_t109" style="position:absolute;left:16002;top:13716;width:1600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" fillcolor="white [3201]" strokecolor="#1c1650" strokeweight="1pt">
                  <v:textbox>
                    <w:txbxContent>
                      <w:p w14:paraId="20FF9A7F" w14:textId="77777777" w:rsidR="00D44D37" w:rsidRPr="00354A3B" w:rsidRDefault="00D44D37" w:rsidP="00354A3B">
                        <w:pPr>
                          <w:spacing w:before="0"/>
                          <w:jc w:val="center"/>
                          <w:rPr>
                            <w:sz w:val="20"/>
                            <w:szCs w:val="20"/>
                          </w:rPr>
                        </w:pPr>
                        <w:r w:rsidRPr="00354A3B">
                          <w:rPr>
                            <w:sz w:val="20"/>
                            <w:szCs w:val="20"/>
                          </w:rPr>
                          <w:t>Risk analysis</w:t>
                        </w:r>
                      </w:p>
                    </w:txbxContent>
                  </v:textbox>
                </v:shape>
                <v:shape id="Process 6" o:spid="_x0000_s1030" type="#_x0000_t109" style="position:absolute;left:16002;top:9144;width:1600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" fillcolor="white [3201]" strokecolor="#1c1650" strokeweight="1pt">
                  <v:textbox>
                    <w:txbxContent>
                      <w:p w14:paraId="08D6C0F3" w14:textId="77777777" w:rsidR="00D44D37" w:rsidRPr="00354A3B" w:rsidRDefault="00D44D37" w:rsidP="00354A3B">
                        <w:pPr>
                          <w:spacing w:before="0"/>
                          <w:jc w:val="center"/>
                          <w:rPr>
                            <w:sz w:val="20"/>
                            <w:szCs w:val="20"/>
                          </w:rPr>
                        </w:pPr>
                        <w:r w:rsidRPr="00354A3B">
                          <w:rPr>
                            <w:sz w:val="20"/>
                            <w:szCs w:val="20"/>
                          </w:rPr>
                          <w:t>Risk identification</w:t>
                        </w:r>
                      </w:p>
                    </w:txbxContent>
                  </v:textbox>
                </v:shape>
                <v:shape id="Process 7" o:spid="_x0000_s1031" type="#_x0000_t109" style="position:absolute;left:16002;top:18288;width:1600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" fillcolor="white [3201]" strokecolor="#1c1650" strokeweight="1pt">
                  <v:textbox>
                    <w:txbxContent>
                      <w:p w14:paraId="31B4D058" w14:textId="77777777" w:rsidR="00D44D37" w:rsidRPr="00354A3B" w:rsidRDefault="00D44D37" w:rsidP="00354A3B">
                        <w:pPr>
                          <w:spacing w:before="0"/>
                          <w:jc w:val="center"/>
                          <w:rPr>
                            <w:sz w:val="20"/>
                            <w:szCs w:val="20"/>
                          </w:rPr>
                        </w:pPr>
                        <w:r w:rsidRPr="00354A3B">
                          <w:rPr>
                            <w:sz w:val="20"/>
                            <w:szCs w:val="20"/>
                          </w:rPr>
                          <w:t>Risk evaluation</w:t>
                        </w:r>
                      </w:p>
                    </w:txbxContent>
                  </v:textbox>
                </v:shape>
                <v:shape id="Process 8" o:spid="_x0000_s1032" type="#_x0000_t109" style="position:absolute;left:16002;top:24003;width:1600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" fillcolor="white [3201]" strokecolor="#1c1650" strokeweight="1pt">
                  <v:textbox>
                    <w:txbxContent>
                      <w:p w14:paraId="00A97DF0" w14:textId="77777777" w:rsidR="00D44D37" w:rsidRPr="00354A3B" w:rsidRDefault="00D44D37" w:rsidP="00354A3B">
                        <w:pPr>
                          <w:spacing w:before="0"/>
                          <w:jc w:val="center"/>
                          <w:rPr>
                            <w:sz w:val="20"/>
                            <w:szCs w:val="20"/>
                          </w:rPr>
                        </w:pPr>
                        <w:r w:rsidRPr="00354A3B">
                          <w:rPr>
                            <w:sz w:val="20"/>
                            <w:szCs w:val="20"/>
                          </w:rPr>
                          <w:t>Risk treatment</w:t>
                        </w:r>
                      </w:p>
                    </w:txbxContent>
                  </v:textbox>
                </v:shape>
                <v:shape id="Process 9" o:spid="_x0000_s1033" type="#_x0000_t109" style="position:absolute;left:-1371;top:2277;width:13715;height:21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" fillcolor="#9d9cab" strokecolor="#1c1650" strokeweight="1pt">
                  <v:fill color2="#e2e2e6" rotate="t" angle="180" colors="0 #9d9cab;.5 #c4c4cc;1 #e2e2e6" focus="100%" type="gradient"/>
                  <v:stroke dashstyle="dash"/>
                  <v:textbox>
                    <w:txbxContent>
                      <w:p w14:paraId="01511BFC" w14:textId="77777777" w:rsidR="00D44D37" w:rsidRPr="00BA6572" w:rsidRDefault="00D44D37" w:rsidP="00BA6572">
                        <w:pPr>
                          <w:jc w:val="center"/>
                          <w:rPr>
                            <w:sz w:val="20"/>
                          </w:rPr>
                        </w:pPr>
                        <w:r w:rsidRPr="00BA6572">
                          <w:rPr>
                            <w:sz w:val="20"/>
                          </w:rPr>
                          <w:t>Communication and consultation</w:t>
                        </w:r>
                      </w:p>
                      <w:p w14:paraId="1FAB4414" w14:textId="77777777" w:rsidR="00D44D37" w:rsidRDefault="00D44D37" w:rsidP="00BA6572">
                        <w:pPr>
                          <w:jc w:val="center"/>
                        </w:pPr>
                      </w:p>
                    </w:txbxContent>
                  </v:textbox>
                </v:shape>
                <v:shape id="Process 10" o:spid="_x0000_s1034" type="#_x0000_t109" style="position:absolute;left:16002;width:1600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" fillcolor="white [3201]" strokecolor="#1c1650" strokeweight="1pt">
                  <v:textbox>
                    <w:txbxContent>
                      <w:p w14:paraId="085F74B8" w14:textId="77777777" w:rsidR="00D44D37" w:rsidRPr="00127D3E" w:rsidRDefault="00D44D37" w:rsidP="00354A3B">
                        <w:pPr>
                          <w:spacing w:before="0"/>
                          <w:jc w:val="center"/>
                          <w:rPr>
                            <w:sz w:val="20"/>
                            <w:szCs w:val="20"/>
                          </w:rPr>
                        </w:pPr>
                        <w:r w:rsidRPr="00127D3E">
                          <w:rPr>
                            <w:sz w:val="20"/>
                            <w:szCs w:val="20"/>
                          </w:rPr>
                          <w:t>Establish context</w:t>
                        </w:r>
                      </w:p>
                    </w:txbxContent>
                  </v:textbox>
                </v:shape>
                <v:shapetype id="_x0000_t32" coordsize="21600,21600" o:spt="32" o:oned="t" path="m,l21600,21600e" filled="f">
                  <v:path arrowok="t" fillok="f" o:connecttype="none"/>
                  <o:lock v:ext="edit" shapetype="t"/>
                </v:shapetype>
                <v:shape id="Straight Arrow Connector 11" o:spid="_x0000_s1035" type="#_x0000_t32" style="position:absolute;left:24003;top:3429;width:0;height:11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" strokecolor="#1c1650" strokeweight="1pt">
                  <v:stroke endarrow="open" endarrowwidth="narrow"/>
                  <v:shadow on="t" color="black" opacity="24903f" origin=",.5" offset="0,.55556mm"/>
                </v:shape>
                <v:shape id="Straight Arrow Connector 12" o:spid="_x0000_s1036" type="#_x0000_t32" style="position:absolute;left:24003;top:12573;width:0;height:11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" strokecolor="#1c1650" strokeweight="1pt">
                  <v:stroke endarrow="open" endarrowwidth="narrow"/>
                  <v:shadow on="t" color="black" opacity="24903f" origin=",.5" offset="0,.55556mm"/>
                </v:shape>
                <v:shape id="Straight Arrow Connector 13" o:spid="_x0000_s1037" type="#_x0000_t32" style="position:absolute;left:24003;top:17145;width:0;height:11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" strokecolor="#1c1650" strokeweight="1pt">
                  <v:stroke endarrow="open" endarrowwidth="narrow"/>
                  <v:shadow on="t" color="black" opacity="24903f" origin=",.5" offset="0,.55556mm"/>
                </v:shape>
                <v:shape id="Straight Arrow Connector 14" o:spid="_x0000_s1038" type="#_x0000_t32" style="position:absolute;left:24003;top:22860;width:0;height:11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" strokecolor="#1c1650" strokeweight="1pt">
                  <v:stroke endarrow="open" endarrowwidth="narrow"/>
                  <v:shadow on="t" color="black" opacity="24903f" origin=",.5" offset="0,.55556mm"/>
                </v:shape>
                <w10:wrap type="topAndBottom"/>
              </v:group>
            </w:pict>
          </mc:Fallback>
        </mc:AlternateContent>
      </w:r>
    </w:p>
    <w:p w14:paraId="44A3FAF3" w14:textId="2F362E55" w:rsidR="00E700A5" w:rsidRDefault="00E700A5">
      <w:pPr>
        <w:spacing w:before="0" w:after="0" w:afterAutospacing="0" w:line="240" w:lineRule="auto"/>
        <w:rPr>
          <w:rFonts w:asciiTheme="minorHAnsi" w:eastAsiaTheme="minorHAnsi" w:hAnsiTheme="minorHAnsi" w:cstheme="minorHAnsi"/>
        </w:rPr>
      </w:pPr>
    </w:p>
    <w:p w14:paraId="6A7C04E7" w14:textId="17728965" w:rsidR="00C73404" w:rsidRPr="006269CA" w:rsidRDefault="00145004" w:rsidP="006269CA">
      <w:pPr>
        <w:pStyle w:val="Heading2"/>
      </w:pPr>
      <w:bookmarkStart w:id="3" w:name="_Toc94210250"/>
      <w:r w:rsidRPr="006269CA">
        <w:lastRenderedPageBreak/>
        <w:t>R</w:t>
      </w:r>
      <w:r w:rsidR="00E700A5" w:rsidRPr="006269CA">
        <w:t>isk identification</w:t>
      </w:r>
      <w:bookmarkEnd w:id="3"/>
    </w:p>
    <w:p w14:paraId="25BDBEBE" w14:textId="7DC74481" w:rsidR="00C73404" w:rsidRDefault="00D14A81" w:rsidP="00D14A81">
      <w:r>
        <w:rPr>
          <w:noProof/>
        </w:rPr>
        <mc:AlternateContent>
          <mc:Choice Requires="wpg">
            <w:drawing>
              <wp:anchor distT="0" distB="0" distL="114300" distR="114300" simplePos="0" relativeHeight="251670528" behindDoc="0" locked="0" layoutInCell="1" allowOverlap="1" wp14:anchorId="609C0E3C" wp14:editId="4C2F2CF1">
                <wp:simplePos x="0" y="0"/>
                <wp:positionH relativeFrom="column">
                  <wp:posOffset>574003</wp:posOffset>
                </wp:positionH>
                <wp:positionV relativeFrom="paragraph">
                  <wp:posOffset>85688</wp:posOffset>
                </wp:positionV>
                <wp:extent cx="4306296" cy="1509724"/>
                <wp:effectExtent l="0" t="25400" r="50165" b="0"/>
                <wp:wrapNone/>
                <wp:docPr id="31" name="Group 31"/>
                <wp:cNvGraphicFramePr/>
                <a:graphic xmlns:a="http://schemas.openxmlformats.org/drawingml/2006/main">
                  <a:graphicData uri="http://schemas.microsoft.com/office/word/2010/wordprocessingGroup">
                    <wpg:wgp>
                      <wpg:cNvGrpSpPr/>
                      <wpg:grpSpPr>
                        <a:xfrm>
                          <a:off x="0" y="0"/>
                          <a:ext cx="4306296" cy="1509724"/>
                          <a:chOff x="0" y="0"/>
                          <a:chExt cx="4306296" cy="1509724"/>
                        </a:xfrm>
                      </wpg:grpSpPr>
                      <wps:wsp>
                        <wps:cNvPr id="25" name="Text Box 25"/>
                        <wps:cNvSpPr txBox="1"/>
                        <wps:spPr>
                          <a:xfrm>
                            <a:off x="0" y="388416"/>
                            <a:ext cx="1313798" cy="560654"/>
                          </a:xfrm>
                          <a:prstGeom prst="rect">
                            <a:avLst/>
                          </a:prstGeom>
                          <a:solidFill>
                            <a:schemeClr val="lt1"/>
                          </a:solidFill>
                          <a:ln w="6350">
                            <a:noFill/>
                          </a:ln>
                        </wps:spPr>
                        <wps:txbx>
                          <w:txbxContent>
                            <w:p w14:paraId="53369451" w14:textId="4215FD6E" w:rsidR="00D44D37" w:rsidRDefault="00D44D37">
                              <w:r>
                                <w:t xml:space="preserve">Identification and initial triage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1312271" y="0"/>
                            <a:ext cx="2994025" cy="1509724"/>
                            <a:chOff x="0" y="0"/>
                            <a:chExt cx="2994025" cy="1509724"/>
                          </a:xfrm>
                        </wpg:grpSpPr>
                        <wps:wsp>
                          <wps:cNvPr id="24" name="Trapezoid 24"/>
                          <wps:cNvSpPr/>
                          <wps:spPr>
                            <a:xfrm flipV="1">
                              <a:off x="0" y="0"/>
                              <a:ext cx="2994025" cy="1336189"/>
                            </a:xfrm>
                            <a:prstGeom prst="trapezoid">
                              <a:avLst/>
                            </a:prstGeom>
                            <a:gradFill flip="none" rotWithShape="1">
                              <a:lin ang="5400000" scaled="1"/>
                              <a:tileRect/>
                            </a:gra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262899" y="114764"/>
                              <a:ext cx="1815451" cy="560070"/>
                            </a:xfrm>
                            <a:prstGeom prst="rect">
                              <a:avLst/>
                            </a:prstGeom>
                            <a:noFill/>
                            <a:ln w="6350">
                              <a:noFill/>
                            </a:ln>
                          </wps:spPr>
                          <wps:txbx>
                            <w:txbxContent>
                              <w:p w14:paraId="11E4D092" w14:textId="78BAED97" w:rsidR="00D44D37" w:rsidRPr="003D651B" w:rsidRDefault="00D44D37" w:rsidP="003D651B">
                                <w:pPr>
                                  <w:rPr>
                                    <w:sz w:val="18"/>
                                    <w:szCs w:val="18"/>
                                  </w:rPr>
                                </w:pPr>
                                <w:r w:rsidRPr="003D651B">
                                  <w:rPr>
                                    <w:sz w:val="18"/>
                                    <w:szCs w:val="18"/>
                                  </w:rPr>
                                  <w:t>4.1 External and internal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224020" y="441812"/>
                              <a:ext cx="1411605" cy="560070"/>
                            </a:xfrm>
                            <a:prstGeom prst="rect">
                              <a:avLst/>
                            </a:prstGeom>
                            <a:noFill/>
                            <a:ln w="6350">
                              <a:noFill/>
                            </a:ln>
                          </wps:spPr>
                          <wps:txbx>
                            <w:txbxContent>
                              <w:p w14:paraId="2D0BA4EF" w14:textId="5E44F2F9" w:rsidR="00D44D37" w:rsidRPr="003D651B" w:rsidRDefault="00D44D37" w:rsidP="003D651B">
                                <w:pPr>
                                  <w:rPr>
                                    <w:sz w:val="18"/>
                                    <w:szCs w:val="18"/>
                                  </w:rPr>
                                </w:pPr>
                                <w:r w:rsidRPr="003D651B">
                                  <w:rPr>
                                    <w:sz w:val="18"/>
                                    <w:szCs w:val="18"/>
                                  </w:rPr>
                                  <w:t>4.2 Interested parties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49901" y="675418"/>
                              <a:ext cx="1411942" cy="560654"/>
                            </a:xfrm>
                            <a:prstGeom prst="rect">
                              <a:avLst/>
                            </a:prstGeom>
                            <a:noFill/>
                            <a:ln w="6350">
                              <a:noFill/>
                            </a:ln>
                          </wps:spPr>
                          <wps:txbx>
                            <w:txbxContent>
                              <w:p w14:paraId="479BF9A2" w14:textId="4865D72F" w:rsidR="00D44D37" w:rsidRPr="003D651B" w:rsidRDefault="00D44D37" w:rsidP="003D651B">
                                <w:pPr>
                                  <w:rPr>
                                    <w:sz w:val="18"/>
                                    <w:szCs w:val="18"/>
                                  </w:rPr>
                                </w:pPr>
                                <w:r w:rsidRPr="003D651B">
                                  <w:rPr>
                                    <w:sz w:val="18"/>
                                    <w:szCs w:val="18"/>
                                  </w:rPr>
                                  <w:t>4.3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224020" y="949070"/>
                              <a:ext cx="1411942" cy="560654"/>
                            </a:xfrm>
                            <a:prstGeom prst="rect">
                              <a:avLst/>
                            </a:prstGeom>
                            <a:noFill/>
                            <a:ln w="6350">
                              <a:noFill/>
                            </a:ln>
                          </wps:spPr>
                          <wps:txbx>
                            <w:txbxContent>
                              <w:p w14:paraId="7BC29BC2" w14:textId="68EEC70B" w:rsidR="00D44D37" w:rsidRPr="003D651B" w:rsidRDefault="00D44D37" w:rsidP="003D651B">
                                <w:pPr>
                                  <w:rPr>
                                    <w:sz w:val="18"/>
                                    <w:szCs w:val="18"/>
                                  </w:rPr>
                                </w:pPr>
                                <w:r w:rsidRPr="003D651B">
                                  <w:rPr>
                                    <w:sz w:val="18"/>
                                    <w:szCs w:val="18"/>
                                  </w:rPr>
                                  <w:t>Annex A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09C0E3C" id="Group 31" o:spid="_x0000_s1039" style="position:absolute;margin-left:45.2pt;margin-top:6.75pt;width:339.1pt;height:118.9pt;z-index:251670528" coordsize="43062,15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">
                <v:shapetype id="_x0000_t202" coordsize="21600,21600" o:spt="202" path="m,l,21600r21600,l21600,xe">
                  <v:stroke joinstyle="miter"/>
                  <v:path gradientshapeok="t" o:connecttype="rect"/>
                </v:shapetype>
                <v:shape id="Text Box 25" o:spid="_x0000_s1040" type="#_x0000_t202" style="position:absolute;top:3884;width:13137;height:5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" fillcolor="white [3201]" stroked="f" strokeweight=".5pt">
                  <v:textbox>
                    <w:txbxContent>
                      <w:p w14:paraId="53369451" w14:textId="4215FD6E" w:rsidR="00D44D37" w:rsidRDefault="00D44D37">
                        <w:r>
                          <w:t xml:space="preserve">Identification and initial triage </w:t>
                        </w:r>
                      </w:p>
                    </w:txbxContent>
                  </v:textbox>
                </v:shape>
                <v:group id="Group 30" o:spid="_x0000_s1041" style="position:absolute;left:13122;width:29940;height:15097" coordsize="29940,15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Trapezoid 24" o:spid="_x0000_s1042" style="position:absolute;width:29940;height:13361;flip:y;visibility:visible;mso-wrap-style:square;v-text-anchor:middle" coordsize="2994025,1336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" path="m,1336189l334047,,2659978,r334047,1336189l,1336189xe" fillcolor="#b1b1b1 [1625]" strokecolor="#5d5d5d [3049]">
                    <v:fill color2="#e7e7e7 [505]" rotate="t" colors="0 #c6c6c6;22938f #d7d7d7;1 #f0f0f0" focus="100%" type="gradient"/>
                    <v:shadow on="t" color="black" opacity="24903f" origin=",.5" offset="0,.55556mm"/>
                    <v:path arrowok="t" o:connecttype="custom" o:connectlocs="0,1336189;334047,0;2659978,0;2994025,1336189;0,1336189" o:connectangles="0,0,0,0,0"/>
                  </v:shape>
                  <v:shape id="Text Box 26" o:spid="_x0000_s1043" type="#_x0000_t202" style="position:absolute;left:2628;top:1147;width:18155;height:5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11E4D092" w14:textId="78BAED97" w:rsidR="00D44D37" w:rsidRPr="003D651B" w:rsidRDefault="00D44D37" w:rsidP="003D651B">
                          <w:pPr>
                            <w:rPr>
                              <w:sz w:val="18"/>
                              <w:szCs w:val="18"/>
                            </w:rPr>
                          </w:pPr>
                          <w:r w:rsidRPr="003D651B">
                            <w:rPr>
                              <w:sz w:val="18"/>
                              <w:szCs w:val="18"/>
                            </w:rPr>
                            <w:t>4.1 External and internal issues</w:t>
                          </w:r>
                        </w:p>
                      </w:txbxContent>
                    </v:textbox>
                  </v:shape>
                  <v:shape id="Text Box 27" o:spid="_x0000_s1044" type="#_x0000_t202" style="position:absolute;left:12240;top:4418;width:14116;height:5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2D0BA4EF" w14:textId="5E44F2F9" w:rsidR="00D44D37" w:rsidRPr="003D651B" w:rsidRDefault="00D44D37" w:rsidP="003D651B">
                          <w:pPr>
                            <w:rPr>
                              <w:sz w:val="18"/>
                              <w:szCs w:val="18"/>
                            </w:rPr>
                          </w:pPr>
                          <w:r w:rsidRPr="003D651B">
                            <w:rPr>
                              <w:sz w:val="18"/>
                              <w:szCs w:val="18"/>
                            </w:rPr>
                            <w:t>4.2 Interested parties</w:t>
                          </w:r>
                        </w:p>
                      </w:txbxContent>
                    </v:textbox>
                  </v:shape>
                  <v:shape id="Text Box 28" o:spid="_x0000_s1045" type="#_x0000_t202" style="position:absolute;left:5499;top:6754;width:14119;height:5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479BF9A2" w14:textId="4865D72F" w:rsidR="00D44D37" w:rsidRPr="003D651B" w:rsidRDefault="00D44D37" w:rsidP="003D651B">
                          <w:pPr>
                            <w:rPr>
                              <w:sz w:val="18"/>
                              <w:szCs w:val="18"/>
                            </w:rPr>
                          </w:pPr>
                          <w:r w:rsidRPr="003D651B">
                            <w:rPr>
                              <w:sz w:val="18"/>
                              <w:szCs w:val="18"/>
                            </w:rPr>
                            <w:t>4.3 Scope</w:t>
                          </w:r>
                        </w:p>
                      </w:txbxContent>
                    </v:textbox>
                  </v:shape>
                  <v:shape id="Text Box 29" o:spid="_x0000_s1046" type="#_x0000_t202" style="position:absolute;left:12240;top:9490;width:14119;height:56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7BC29BC2" w14:textId="68EEC70B" w:rsidR="00D44D37" w:rsidRPr="003D651B" w:rsidRDefault="00D44D37" w:rsidP="003D651B">
                          <w:pPr>
                            <w:rPr>
                              <w:sz w:val="18"/>
                              <w:szCs w:val="18"/>
                            </w:rPr>
                          </w:pPr>
                          <w:r w:rsidRPr="003D651B">
                            <w:rPr>
                              <w:sz w:val="18"/>
                              <w:szCs w:val="18"/>
                            </w:rPr>
                            <w:t>Annex A controls</w:t>
                          </w:r>
                        </w:p>
                      </w:txbxContent>
                    </v:textbox>
                  </v:shape>
                </v:group>
              </v:group>
            </w:pict>
          </mc:Fallback>
        </mc:AlternateContent>
      </w:r>
    </w:p>
    <w:p w14:paraId="4F668C04" w14:textId="266E0F75" w:rsidR="007D7EDA" w:rsidRDefault="00C73404" w:rsidP="003D651B">
      <w:r>
        <w:br/>
      </w:r>
      <w:r>
        <w:br/>
      </w:r>
    </w:p>
    <w:p w14:paraId="017DD11D" w14:textId="1280A020" w:rsidR="003D651B" w:rsidRDefault="003D651B" w:rsidP="00145004"/>
    <w:p w14:paraId="4711D616" w14:textId="77777777" w:rsidR="00D14A81" w:rsidRDefault="00D14A81" w:rsidP="00145004"/>
    <w:p w14:paraId="7B365509" w14:textId="5A1562D8" w:rsidR="00E700A5" w:rsidRDefault="00E700A5" w:rsidP="00145004">
      <w:r>
        <w:t xml:space="preserve">In terms of risk identification and initial inputs into the risk analysis we do the following: </w:t>
      </w:r>
    </w:p>
    <w:p w14:paraId="52719751" w14:textId="64B0A866" w:rsidR="00E700A5" w:rsidRPr="00C42063" w:rsidRDefault="00E700A5" w:rsidP="00E83E71">
      <w:pPr>
        <w:pStyle w:val="ListParagraph"/>
        <w:numPr>
          <w:ilvl w:val="0"/>
          <w:numId w:val="41"/>
        </w:numPr>
      </w:pPr>
      <w:r>
        <w:t xml:space="preserve">Consider the organisation and its context </w:t>
      </w:r>
      <w:r w:rsidR="00CC76A1">
        <w:t xml:space="preserve">including </w:t>
      </w:r>
      <w:r w:rsidR="003D651B">
        <w:t>4.1 E</w:t>
      </w:r>
      <w:r>
        <w:t>xternal</w:t>
      </w:r>
      <w:r w:rsidR="003D651B">
        <w:t xml:space="preserve"> and internal</w:t>
      </w:r>
      <w:r>
        <w:t xml:space="preserve"> issue</w:t>
      </w:r>
      <w:r w:rsidR="003D651B">
        <w:t>s</w:t>
      </w:r>
    </w:p>
    <w:p w14:paraId="25B667EB" w14:textId="4A80CEFB" w:rsidR="003D651B" w:rsidRDefault="00E700A5" w:rsidP="00145004">
      <w:pPr>
        <w:pStyle w:val="ListParagraph"/>
        <w:numPr>
          <w:ilvl w:val="0"/>
          <w:numId w:val="41"/>
        </w:numPr>
      </w:pPr>
      <w:r w:rsidRPr="00670D8B">
        <w:t>Understand</w:t>
      </w:r>
      <w:r>
        <w:t xml:space="preserve"> the needs and expectations of </w:t>
      </w:r>
      <w:r w:rsidR="003D651B">
        <w:t xml:space="preserve">4.2 </w:t>
      </w:r>
      <w:r>
        <w:t>Interested P</w:t>
      </w:r>
      <w:r w:rsidRPr="00670D8B">
        <w:t>arties taking their importance into account</w:t>
      </w:r>
    </w:p>
    <w:p w14:paraId="11AD264B" w14:textId="641E1247" w:rsidR="003D651B" w:rsidRDefault="003D651B" w:rsidP="00145004">
      <w:pPr>
        <w:pStyle w:val="ListParagraph"/>
        <w:numPr>
          <w:ilvl w:val="0"/>
          <w:numId w:val="41"/>
        </w:numPr>
      </w:pPr>
      <w:r>
        <w:t xml:space="preserve">Consider </w:t>
      </w:r>
      <w:r w:rsidR="00E700A5" w:rsidRPr="00670D8B">
        <w:t xml:space="preserve">any </w:t>
      </w:r>
      <w:r w:rsidR="00D44D37">
        <w:t>A.</w:t>
      </w:r>
      <w:r>
        <w:t>18.1.1 A</w:t>
      </w:r>
      <w:r w:rsidR="00E700A5" w:rsidRPr="00670D8B">
        <w:t>pplicable legislation</w:t>
      </w:r>
      <w:r w:rsidR="009B0082">
        <w:t xml:space="preserve">, </w:t>
      </w:r>
      <w:r w:rsidR="00E700A5" w:rsidRPr="00670D8B">
        <w:t>regulation</w:t>
      </w:r>
      <w:r>
        <w:t>s</w:t>
      </w:r>
      <w:r w:rsidR="00E700A5">
        <w:t xml:space="preserve"> </w:t>
      </w:r>
      <w:r w:rsidR="009B0082">
        <w:t>or contractual requirement</w:t>
      </w:r>
    </w:p>
    <w:p w14:paraId="37E790F6" w14:textId="7DE6C252" w:rsidR="00145004" w:rsidRDefault="003D651B" w:rsidP="00145004">
      <w:pPr>
        <w:pStyle w:val="ListParagraph"/>
        <w:numPr>
          <w:ilvl w:val="0"/>
          <w:numId w:val="41"/>
        </w:numPr>
      </w:pPr>
      <w:r>
        <w:t>Consider 4.3 S</w:t>
      </w:r>
      <w:r w:rsidR="00E700A5">
        <w:t>cope of the system</w:t>
      </w:r>
    </w:p>
    <w:p w14:paraId="3BE3B46D" w14:textId="78261735" w:rsidR="003D651B" w:rsidRDefault="00E700A5" w:rsidP="00D44D37">
      <w:pPr>
        <w:pStyle w:val="ListParagraph"/>
        <w:numPr>
          <w:ilvl w:val="0"/>
          <w:numId w:val="41"/>
        </w:numPr>
      </w:pPr>
      <w:r>
        <w:t>Consider</w:t>
      </w:r>
      <w:r w:rsidRPr="00941827">
        <w:t xml:space="preserve"> ISO 27001 Annex A policy and controls areas to help stimulate further </w:t>
      </w:r>
      <w:r>
        <w:t>identification</w:t>
      </w:r>
      <w:r w:rsidRPr="00941827">
        <w:t xml:space="preserve"> of risk in the above areas</w:t>
      </w:r>
    </w:p>
    <w:p w14:paraId="53B35BFB" w14:textId="565D5409" w:rsidR="00145004" w:rsidRDefault="003D651B" w:rsidP="00D44D37">
      <w:pPr>
        <w:pStyle w:val="ListParagraph"/>
        <w:numPr>
          <w:ilvl w:val="0"/>
          <w:numId w:val="41"/>
        </w:numPr>
      </w:pPr>
      <w:r>
        <w:t xml:space="preserve">Also consider any additional </w:t>
      </w:r>
      <w:r w:rsidR="00E700A5" w:rsidRPr="00941827">
        <w:t>compliance regimes adopted within the organisatio</w:t>
      </w:r>
      <w:r>
        <w:t>n</w:t>
      </w:r>
    </w:p>
    <w:p w14:paraId="5E5CA65E" w14:textId="556DBBAE" w:rsidR="00E700A5" w:rsidRPr="006269CA" w:rsidRDefault="00560268" w:rsidP="006269CA">
      <w:pPr>
        <w:ind w:left="360"/>
        <w:rPr>
          <w:b/>
          <w:bCs/>
          <w:i/>
          <w:iCs/>
          <w:sz w:val="20"/>
          <w:szCs w:val="20"/>
        </w:rPr>
      </w:pPr>
      <w:r>
        <w:rPr>
          <w:noProof/>
        </w:rPr>
        <mc:AlternateContent>
          <mc:Choice Requires="wps">
            <w:drawing>
              <wp:anchor distT="0" distB="0" distL="114300" distR="114300" simplePos="0" relativeHeight="251671552" behindDoc="0" locked="0" layoutInCell="1" allowOverlap="1" wp14:anchorId="0847291C" wp14:editId="0A8DCB5E">
                <wp:simplePos x="0" y="0"/>
                <wp:positionH relativeFrom="column">
                  <wp:posOffset>39694</wp:posOffset>
                </wp:positionH>
                <wp:positionV relativeFrom="paragraph">
                  <wp:posOffset>34289</wp:posOffset>
                </wp:positionV>
                <wp:extent cx="0" cy="807043"/>
                <wp:effectExtent l="0" t="0" r="12700" b="6350"/>
                <wp:wrapNone/>
                <wp:docPr id="32" name="Straight Connector 32"/>
                <wp:cNvGraphicFramePr/>
                <a:graphic xmlns:a="http://schemas.openxmlformats.org/drawingml/2006/main">
                  <a:graphicData uri="http://schemas.microsoft.com/office/word/2010/wordprocessingShape">
                    <wps:wsp>
                      <wps:cNvCnPr/>
                      <wps:spPr>
                        <a:xfrm>
                          <a:off x="0" y="0"/>
                          <a:ext cx="0" cy="807043"/>
                        </a:xfrm>
                        <a:prstGeom prst="line">
                          <a:avLst/>
                        </a:prstGeom>
                        <a:ln w="12700">
                          <a:solidFill>
                            <a:srgbClr val="494854"/>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8AD53" id="Straight Connector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7pt" to="3.1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" strokecolor="#494854" strokeweight="1pt"/>
            </w:pict>
          </mc:Fallback>
        </mc:AlternateContent>
      </w:r>
      <w:r w:rsidR="003D651B" w:rsidRPr="006269CA">
        <w:rPr>
          <w:b/>
          <w:bCs/>
          <w:i/>
          <w:iCs/>
          <w:sz w:val="20"/>
          <w:szCs w:val="20"/>
        </w:rPr>
        <w:t>Tips</w:t>
      </w:r>
    </w:p>
    <w:p w14:paraId="0A3259F4" w14:textId="18B9B037" w:rsidR="00E83E71" w:rsidRDefault="00E700A5" w:rsidP="00560268">
      <w:pPr>
        <w:ind w:left="360"/>
        <w:rPr>
          <w:i/>
          <w:iCs/>
          <w:sz w:val="20"/>
          <w:szCs w:val="20"/>
        </w:rPr>
      </w:pPr>
      <w:r w:rsidRPr="006269CA">
        <w:rPr>
          <w:i/>
          <w:iCs/>
          <w:sz w:val="20"/>
          <w:szCs w:val="20"/>
        </w:rPr>
        <w:t>The risk identification work may be achieved through brainstorming / workshop facilitation, desktop research and business plan review, asset inventory, existing process documentation review etc.</w:t>
      </w:r>
      <w:r w:rsidR="003D651B" w:rsidRPr="006269CA">
        <w:rPr>
          <w:i/>
          <w:iCs/>
          <w:sz w:val="20"/>
          <w:szCs w:val="20"/>
        </w:rPr>
        <w:t xml:space="preserve"> Initial ideas may also be stimulated by the Risk Bank</w:t>
      </w:r>
      <w:r w:rsidR="00A5011A">
        <w:rPr>
          <w:i/>
          <w:iCs/>
          <w:sz w:val="20"/>
          <w:szCs w:val="20"/>
        </w:rPr>
        <w:t>.</w:t>
      </w:r>
    </w:p>
    <w:p w14:paraId="3DA2CBAB" w14:textId="77777777" w:rsidR="00560268" w:rsidRPr="00560268" w:rsidRDefault="00560268" w:rsidP="00560268">
      <w:pPr>
        <w:ind w:left="360"/>
        <w:rPr>
          <w:i/>
          <w:iCs/>
          <w:sz w:val="20"/>
          <w:szCs w:val="20"/>
        </w:rPr>
      </w:pPr>
    </w:p>
    <w:p w14:paraId="04F6E21F" w14:textId="70B70A8A" w:rsidR="00E700A5" w:rsidRPr="00E700A5" w:rsidRDefault="00D55B4B" w:rsidP="006269CA">
      <w:pPr>
        <w:pStyle w:val="Heading2"/>
      </w:pPr>
      <w:bookmarkStart w:id="4" w:name="_Toc94210251"/>
      <w:r>
        <w:t xml:space="preserve">Adding and updating </w:t>
      </w:r>
      <w:r w:rsidR="009B0082">
        <w:t>r</w:t>
      </w:r>
      <w:r w:rsidR="00E700A5">
        <w:t>isk</w:t>
      </w:r>
      <w:r>
        <w:t>s</w:t>
      </w:r>
      <w:bookmarkEnd w:id="4"/>
    </w:p>
    <w:p w14:paraId="2C15EBED" w14:textId="40B14D6B" w:rsidR="00145004" w:rsidRDefault="00145004" w:rsidP="00CC76A1">
      <w:r>
        <w:rPr>
          <w:szCs w:val="20"/>
        </w:rPr>
        <w:t xml:space="preserve">Having identified a risk </w:t>
      </w:r>
      <w:r w:rsidR="00D14A81">
        <w:rPr>
          <w:szCs w:val="20"/>
        </w:rPr>
        <w:t>using</w:t>
      </w:r>
      <w:r>
        <w:rPr>
          <w:szCs w:val="20"/>
        </w:rPr>
        <w:t xml:space="preserve"> the process above, the </w:t>
      </w:r>
      <w:r w:rsidR="00D14A81">
        <w:rPr>
          <w:szCs w:val="20"/>
        </w:rPr>
        <w:t>risk is add</w:t>
      </w:r>
      <w:r>
        <w:t xml:space="preserve">ed to the </w:t>
      </w:r>
      <w:r w:rsidR="00E56883">
        <w:t>Risks</w:t>
      </w:r>
      <w:r w:rsidR="00D14A81">
        <w:t xml:space="preserve"> &amp; Treatment</w:t>
      </w:r>
      <w:r>
        <w:t xml:space="preserve"> </w:t>
      </w:r>
      <w:r w:rsidR="00D14A81">
        <w:t>tool</w:t>
      </w:r>
      <w:r>
        <w:t xml:space="preserve"> </w:t>
      </w:r>
      <w:r w:rsidR="00146054">
        <w:t>within ISMS.online.</w:t>
      </w:r>
    </w:p>
    <w:p w14:paraId="6001B2A5" w14:textId="40B64866" w:rsidR="00BA6572" w:rsidRDefault="00145004" w:rsidP="00CC76A1">
      <w:pPr>
        <w:rPr>
          <w:rFonts w:ascii="Verdana" w:hAnsi="Verdana"/>
          <w:sz w:val="20"/>
          <w:szCs w:val="20"/>
        </w:rPr>
      </w:pPr>
      <w:r>
        <w:t>The following principles apply:</w:t>
      </w:r>
    </w:p>
    <w:p w14:paraId="73B6C16C" w14:textId="77777777" w:rsidR="00D14A81" w:rsidRDefault="00D55B4B" w:rsidP="00CC76A1">
      <w:pPr>
        <w:pStyle w:val="ListParagraph"/>
        <w:numPr>
          <w:ilvl w:val="0"/>
          <w:numId w:val="42"/>
        </w:numPr>
      </w:pPr>
      <w:r>
        <w:t xml:space="preserve">Risks are relevantly described </w:t>
      </w:r>
      <w:r w:rsidR="00D14A81">
        <w:t xml:space="preserve">along with their potential consequence </w:t>
      </w:r>
    </w:p>
    <w:p w14:paraId="7C15043E" w14:textId="5D49A20A" w:rsidR="00D55B4B" w:rsidRDefault="00D14A81" w:rsidP="00CC76A1">
      <w:pPr>
        <w:pStyle w:val="ListParagraph"/>
        <w:numPr>
          <w:ilvl w:val="0"/>
          <w:numId w:val="42"/>
        </w:numPr>
      </w:pPr>
      <w:r>
        <w:t xml:space="preserve">Risks are </w:t>
      </w:r>
      <w:r w:rsidR="006269CA">
        <w:t>categorised</w:t>
      </w:r>
      <w:r>
        <w:t xml:space="preserve"> as being </w:t>
      </w:r>
      <w:r w:rsidR="00D55B4B">
        <w:t>internal, external or both</w:t>
      </w:r>
    </w:p>
    <w:p w14:paraId="3314FA7F" w14:textId="48CE0976" w:rsidR="00F668DA" w:rsidRDefault="00A84AB9" w:rsidP="00CC76A1">
      <w:pPr>
        <w:pStyle w:val="ListParagraph"/>
        <w:numPr>
          <w:ilvl w:val="0"/>
          <w:numId w:val="42"/>
        </w:numPr>
      </w:pPr>
      <w:r>
        <w:t xml:space="preserve">Each </w:t>
      </w:r>
      <w:r w:rsidR="009B0082">
        <w:t>risk</w:t>
      </w:r>
      <w:r w:rsidR="00F668DA">
        <w:t xml:space="preserve"> ha</w:t>
      </w:r>
      <w:r>
        <w:t xml:space="preserve">s </w:t>
      </w:r>
      <w:r w:rsidR="00B47ED2">
        <w:t>one overall owner</w:t>
      </w:r>
      <w:r w:rsidR="00D14A81">
        <w:t xml:space="preserve">. Individual </w:t>
      </w:r>
      <w:r w:rsidR="00F668DA">
        <w:t xml:space="preserve">treatment </w:t>
      </w:r>
      <w:r w:rsidR="00E83E71">
        <w:t>actions</w:t>
      </w:r>
      <w:r w:rsidR="00F668DA">
        <w:t xml:space="preserve"> </w:t>
      </w:r>
      <w:r w:rsidR="00D14A81">
        <w:t>can be created as To-Dos and tracked and man</w:t>
      </w:r>
      <w:r w:rsidR="00A5011A">
        <w:t>a</w:t>
      </w:r>
      <w:r w:rsidR="00D14A81">
        <w:t>ged within that risk</w:t>
      </w:r>
    </w:p>
    <w:p w14:paraId="237C3012" w14:textId="0A06B9DB" w:rsidR="00B47ED2" w:rsidRDefault="00B47ED2" w:rsidP="00CC76A1">
      <w:pPr>
        <w:pStyle w:val="ListParagraph"/>
        <w:numPr>
          <w:ilvl w:val="0"/>
          <w:numId w:val="42"/>
        </w:numPr>
      </w:pPr>
      <w:r>
        <w:t>All work around risks is audited</w:t>
      </w:r>
      <w:r w:rsidR="00E83E71">
        <w:t xml:space="preserve">. </w:t>
      </w:r>
      <w:r w:rsidR="00D14A81">
        <w:t>The risk owner must demonstrate</w:t>
      </w:r>
      <w:r>
        <w:t xml:space="preserve"> enough evidence to auditors and internal stakeholders that appropriate action has been taken</w:t>
      </w:r>
    </w:p>
    <w:p w14:paraId="68B26C29" w14:textId="3F14C739" w:rsidR="007609AA" w:rsidRDefault="007609AA" w:rsidP="00CC76A1">
      <w:pPr>
        <w:pStyle w:val="ListParagraph"/>
        <w:numPr>
          <w:ilvl w:val="0"/>
          <w:numId w:val="42"/>
        </w:numPr>
      </w:pPr>
      <w:r>
        <w:lastRenderedPageBreak/>
        <w:t xml:space="preserve">Risks can be identified, added and updated within the tool at any time by </w:t>
      </w:r>
      <w:r w:rsidR="00D14A81">
        <w:t>any member of the ISMS board</w:t>
      </w:r>
    </w:p>
    <w:p w14:paraId="76F345B8" w14:textId="1B2BA62F" w:rsidR="00A84AB9" w:rsidRPr="00127D3E" w:rsidRDefault="00A84AB9" w:rsidP="00A84AB9">
      <w:pPr>
        <w:pStyle w:val="ListParagraph"/>
        <w:numPr>
          <w:ilvl w:val="0"/>
          <w:numId w:val="42"/>
        </w:numPr>
      </w:pPr>
      <w:r>
        <w:t xml:space="preserve">Risks are reviewed at varying intervals based on their </w:t>
      </w:r>
      <w:r w:rsidR="00E83E71">
        <w:t>position on the map</w:t>
      </w:r>
      <w:r w:rsidR="00D14A81">
        <w:t xml:space="preserve"> or any other change (eg: to regulations, external or internal issues etc) as appropriate</w:t>
      </w:r>
    </w:p>
    <w:p w14:paraId="297060A0" w14:textId="0F902283" w:rsidR="00363C8C" w:rsidRDefault="00363C8C" w:rsidP="00CC76A1">
      <w:pPr>
        <w:pStyle w:val="ListParagraph"/>
        <w:numPr>
          <w:ilvl w:val="0"/>
          <w:numId w:val="42"/>
        </w:numPr>
      </w:pPr>
      <w:r w:rsidRPr="00363C8C">
        <w:t>A</w:t>
      </w:r>
      <w:r w:rsidR="00D14A81">
        <w:t xml:space="preserve">ll changes are visible to all ISMS board members via the </w:t>
      </w:r>
      <w:r w:rsidR="00E56883">
        <w:t>Risks</w:t>
      </w:r>
      <w:r w:rsidR="00D14A81">
        <w:t xml:space="preserve"> &amp; Treatments</w:t>
      </w:r>
      <w:r w:rsidR="00D44D37">
        <w:t xml:space="preserve"> </w:t>
      </w:r>
      <w:r w:rsidR="00D14A81">
        <w:t xml:space="preserve">tool </w:t>
      </w:r>
    </w:p>
    <w:p w14:paraId="788F8F3D" w14:textId="74930FB2" w:rsidR="00D44D37" w:rsidRDefault="00D44D37" w:rsidP="00D44D37">
      <w:pPr>
        <w:pStyle w:val="ListParagraph"/>
        <w:numPr>
          <w:ilvl w:val="0"/>
          <w:numId w:val="42"/>
        </w:numPr>
      </w:pPr>
      <w:r w:rsidRPr="0084678F">
        <w:t xml:space="preserve">New risks are </w:t>
      </w:r>
      <w:r>
        <w:t>assessed</w:t>
      </w:r>
      <w:r w:rsidRPr="0084678F">
        <w:t xml:space="preserve"> as they become know</w:t>
      </w:r>
      <w:r>
        <w:t>n</w:t>
      </w:r>
      <w:r w:rsidRPr="0084678F">
        <w:t xml:space="preserve"> </w:t>
      </w:r>
      <w:r>
        <w:t xml:space="preserve">e.g. through project work in accordance with </w:t>
      </w:r>
      <w:r w:rsidRPr="00D44D37">
        <w:t xml:space="preserve">A.6.1.5 Information security in project management, </w:t>
      </w:r>
      <w:r>
        <w:t>management reviews, or other interactions with Interested Parties or general research</w:t>
      </w:r>
    </w:p>
    <w:p w14:paraId="542FC898" w14:textId="77777777" w:rsidR="00D44D37" w:rsidRDefault="00D44D37" w:rsidP="00D44D37">
      <w:pPr>
        <w:pStyle w:val="ListParagraph"/>
        <w:numPr>
          <w:ilvl w:val="0"/>
          <w:numId w:val="0"/>
        </w:numPr>
        <w:ind w:left="720"/>
      </w:pPr>
    </w:p>
    <w:p w14:paraId="3F4A16CD" w14:textId="6096C4E5" w:rsidR="00BA6572" w:rsidRPr="00127D3E" w:rsidRDefault="00D55B4B" w:rsidP="006269CA">
      <w:pPr>
        <w:pStyle w:val="Heading2"/>
      </w:pPr>
      <w:bookmarkStart w:id="5" w:name="_Toc94210252"/>
      <w:r>
        <w:t>A</w:t>
      </w:r>
      <w:r w:rsidR="004F5F55" w:rsidRPr="00127D3E">
        <w:t>ssessing</w:t>
      </w:r>
      <w:r w:rsidR="00BA6572" w:rsidRPr="00127D3E">
        <w:t xml:space="preserve"> </w:t>
      </w:r>
      <w:r w:rsidR="00FB41D9" w:rsidRPr="00127D3E">
        <w:t>risks</w:t>
      </w:r>
      <w:bookmarkEnd w:id="5"/>
    </w:p>
    <w:p w14:paraId="402FA838" w14:textId="4FD66291" w:rsidR="00FB41D9" w:rsidRDefault="00FB41D9" w:rsidP="00127D3E">
      <w:r>
        <w:t xml:space="preserve">A </w:t>
      </w:r>
      <w:r w:rsidR="00D14A81">
        <w:t>defined</w:t>
      </w:r>
      <w:r>
        <w:t xml:space="preserve"> process of likelihood and impact analysis is considered for risk </w:t>
      </w:r>
      <w:r w:rsidR="004F5F55">
        <w:t>assessment</w:t>
      </w:r>
      <w:r w:rsidR="00D14A81">
        <w:t xml:space="preserve">. It takes </w:t>
      </w:r>
      <w:r>
        <w:t xml:space="preserve">into account the potential loss of confidentiality, integrity and availability </w:t>
      </w:r>
      <w:r w:rsidR="00F73D86">
        <w:t>of</w:t>
      </w:r>
      <w:r>
        <w:t xml:space="preserve"> information </w:t>
      </w:r>
      <w:r w:rsidR="004F5F55">
        <w:t>for</w:t>
      </w:r>
      <w:r>
        <w:t xml:space="preserve"> the impact </w:t>
      </w:r>
      <w:r w:rsidR="006269CA">
        <w:t>assessment</w:t>
      </w:r>
      <w:r>
        <w:t xml:space="preserve">. </w:t>
      </w:r>
    </w:p>
    <w:p w14:paraId="5BEBE96E" w14:textId="6E903CC0" w:rsidR="00FB41D9" w:rsidRPr="00127D3E" w:rsidRDefault="00FB41D9" w:rsidP="00127D3E">
      <w:pPr>
        <w:rPr>
          <w:b/>
        </w:rPr>
      </w:pPr>
      <w:r w:rsidRPr="00127D3E">
        <w:rPr>
          <w:b/>
        </w:rPr>
        <w:t>Likelihood</w:t>
      </w:r>
    </w:p>
    <w:tbl>
      <w:tblPr>
        <w:tblStyle w:val="TableGrid"/>
        <w:tblW w:w="9259" w:type="dxa"/>
        <w:tblLook w:val="04A0" w:firstRow="1" w:lastRow="0" w:firstColumn="1" w:lastColumn="0" w:noHBand="0" w:noVBand="1"/>
      </w:tblPr>
      <w:tblGrid>
        <w:gridCol w:w="1271"/>
        <w:gridCol w:w="7988"/>
      </w:tblGrid>
      <w:tr w:rsidR="00FB41D9" w:rsidRPr="003457BB" w14:paraId="1500C2D7" w14:textId="77777777" w:rsidTr="00146054">
        <w:tc>
          <w:tcPr>
            <w:tcW w:w="1271" w:type="dxa"/>
            <w:noWrap/>
            <w:hideMark/>
          </w:tcPr>
          <w:p w14:paraId="04670465" w14:textId="621F8D18" w:rsidR="00FB41D9" w:rsidRPr="00E83E71" w:rsidRDefault="00083214" w:rsidP="00127D3E">
            <w:pPr>
              <w:rPr>
                <w:b/>
                <w:bCs/>
              </w:rPr>
            </w:pPr>
            <w:r w:rsidRPr="00E83E71">
              <w:rPr>
                <w:b/>
                <w:bCs/>
              </w:rPr>
              <w:t>Level</w:t>
            </w:r>
          </w:p>
        </w:tc>
        <w:tc>
          <w:tcPr>
            <w:tcW w:w="7988" w:type="dxa"/>
            <w:noWrap/>
            <w:hideMark/>
          </w:tcPr>
          <w:p w14:paraId="7F204B96" w14:textId="77777777" w:rsidR="00FB41D9" w:rsidRPr="00E83E71" w:rsidRDefault="00FB41D9" w:rsidP="00127D3E">
            <w:pPr>
              <w:rPr>
                <w:b/>
                <w:bCs/>
              </w:rPr>
            </w:pPr>
            <w:r w:rsidRPr="00E83E71">
              <w:rPr>
                <w:b/>
                <w:bCs/>
              </w:rPr>
              <w:t>Description</w:t>
            </w:r>
          </w:p>
        </w:tc>
      </w:tr>
      <w:tr w:rsidR="00FB41D9" w:rsidRPr="003457BB" w14:paraId="369E8EB5" w14:textId="77777777" w:rsidTr="006269CA">
        <w:tc>
          <w:tcPr>
            <w:tcW w:w="1271" w:type="dxa"/>
            <w:noWrap/>
            <w:vAlign w:val="center"/>
            <w:hideMark/>
          </w:tcPr>
          <w:p w14:paraId="593F63A2" w14:textId="2BBB2A06" w:rsidR="00A10C97" w:rsidRPr="003457BB" w:rsidRDefault="00237B80" w:rsidP="006269CA">
            <w:r>
              <w:t>Very low</w:t>
            </w:r>
          </w:p>
        </w:tc>
        <w:tc>
          <w:tcPr>
            <w:tcW w:w="7988" w:type="dxa"/>
            <w:noWrap/>
            <w:hideMark/>
          </w:tcPr>
          <w:p w14:paraId="6FDE1A29" w14:textId="3410248E" w:rsidR="00FB41D9" w:rsidRPr="003457BB" w:rsidRDefault="00FB41D9" w:rsidP="00127D3E">
            <w:r>
              <w:t>No history of occurrence and the event may only happen in exceptional circumstances with a high level of investment and or specialist skills</w:t>
            </w:r>
          </w:p>
        </w:tc>
      </w:tr>
      <w:tr w:rsidR="00FB41D9" w:rsidRPr="003457BB" w14:paraId="7FD00A6A" w14:textId="77777777" w:rsidTr="006269CA">
        <w:tc>
          <w:tcPr>
            <w:tcW w:w="1271" w:type="dxa"/>
            <w:noWrap/>
            <w:vAlign w:val="center"/>
            <w:hideMark/>
          </w:tcPr>
          <w:p w14:paraId="7BD57A4F" w14:textId="53260CBE" w:rsidR="00A10C97" w:rsidRPr="003457BB" w:rsidRDefault="00237B80" w:rsidP="006269CA">
            <w:r>
              <w:t>Low</w:t>
            </w:r>
          </w:p>
        </w:tc>
        <w:tc>
          <w:tcPr>
            <w:tcW w:w="7988" w:type="dxa"/>
            <w:noWrap/>
            <w:hideMark/>
          </w:tcPr>
          <w:p w14:paraId="47C2309E" w14:textId="0B38E795" w:rsidR="00FB41D9" w:rsidRPr="003457BB" w:rsidRDefault="00FB41D9" w:rsidP="00127D3E">
            <w:r>
              <w:t xml:space="preserve">The </w:t>
            </w:r>
            <w:r w:rsidR="004F5F55">
              <w:t>event</w:t>
            </w:r>
            <w:r>
              <w:t xml:space="preserve"> has not occurred before but could do so without exceptional circumstances being needed or high level of investment and or specialist skills </w:t>
            </w:r>
          </w:p>
        </w:tc>
      </w:tr>
      <w:tr w:rsidR="00FB41D9" w:rsidRPr="003457BB" w14:paraId="3E01AB84" w14:textId="77777777" w:rsidTr="006269CA">
        <w:tc>
          <w:tcPr>
            <w:tcW w:w="1271" w:type="dxa"/>
            <w:noWrap/>
            <w:vAlign w:val="center"/>
            <w:hideMark/>
          </w:tcPr>
          <w:p w14:paraId="6B2C8FB9" w14:textId="2BBF73B1" w:rsidR="00A10C97" w:rsidRPr="003457BB" w:rsidRDefault="00237B80" w:rsidP="006269CA">
            <w:r>
              <w:t>Medium</w:t>
            </w:r>
          </w:p>
        </w:tc>
        <w:tc>
          <w:tcPr>
            <w:tcW w:w="7988" w:type="dxa"/>
            <w:noWrap/>
            <w:hideMark/>
          </w:tcPr>
          <w:p w14:paraId="279298EE" w14:textId="1CA66E12" w:rsidR="00FB41D9" w:rsidRPr="003457BB" w:rsidRDefault="00FB41D9" w:rsidP="00127D3E">
            <w:r>
              <w:t>The event has occurred in the past and could recur again without exceptional circumstances being needed or high level of investment and or specialist skills</w:t>
            </w:r>
          </w:p>
        </w:tc>
      </w:tr>
      <w:tr w:rsidR="00FB41D9" w:rsidRPr="003457BB" w14:paraId="5402E3AF" w14:textId="77777777" w:rsidTr="006269CA">
        <w:tc>
          <w:tcPr>
            <w:tcW w:w="1271" w:type="dxa"/>
            <w:noWrap/>
            <w:vAlign w:val="center"/>
            <w:hideMark/>
          </w:tcPr>
          <w:p w14:paraId="611DC49D" w14:textId="0D74A649" w:rsidR="00FB41D9" w:rsidRPr="003457BB" w:rsidRDefault="00237B80" w:rsidP="006269CA">
            <w:r>
              <w:t>High</w:t>
            </w:r>
          </w:p>
        </w:tc>
        <w:tc>
          <w:tcPr>
            <w:tcW w:w="7988" w:type="dxa"/>
            <w:noWrap/>
            <w:hideMark/>
          </w:tcPr>
          <w:p w14:paraId="4E0C96D2" w14:textId="27748D38" w:rsidR="00FB41D9" w:rsidRPr="003457BB" w:rsidRDefault="00FB41D9" w:rsidP="00127D3E">
            <w:r>
              <w:t>The event will occur at some point and may be a repeat of past events</w:t>
            </w:r>
          </w:p>
        </w:tc>
      </w:tr>
      <w:tr w:rsidR="00FB41D9" w:rsidRPr="003457BB" w14:paraId="20D5D92B" w14:textId="77777777" w:rsidTr="006269CA">
        <w:trPr>
          <w:trHeight w:val="57"/>
        </w:trPr>
        <w:tc>
          <w:tcPr>
            <w:tcW w:w="1271" w:type="dxa"/>
            <w:noWrap/>
            <w:vAlign w:val="center"/>
            <w:hideMark/>
          </w:tcPr>
          <w:p w14:paraId="0DE591E9" w14:textId="5DF52ABE" w:rsidR="00FB41D9" w:rsidRPr="003457BB" w:rsidRDefault="00237B80" w:rsidP="006269CA">
            <w:r>
              <w:t>Very High</w:t>
            </w:r>
          </w:p>
        </w:tc>
        <w:tc>
          <w:tcPr>
            <w:tcW w:w="7988" w:type="dxa"/>
            <w:noWrap/>
            <w:hideMark/>
          </w:tcPr>
          <w:p w14:paraId="3B1B493F" w14:textId="2C060EB5" w:rsidR="00FB41D9" w:rsidRPr="003457BB" w:rsidRDefault="00FB41D9" w:rsidP="00127D3E">
            <w:r>
              <w:t xml:space="preserve">There is a history of regular reoccurrence </w:t>
            </w:r>
          </w:p>
        </w:tc>
      </w:tr>
    </w:tbl>
    <w:p w14:paraId="40F3685C" w14:textId="7F553F10" w:rsidR="00BA6572" w:rsidRDefault="00BA6572" w:rsidP="00A63BB9">
      <w:pPr>
        <w:pStyle w:val="Default"/>
        <w:rPr>
          <w:rFonts w:ascii="Verdana" w:hAnsi="Verdana"/>
          <w:sz w:val="20"/>
          <w:szCs w:val="20"/>
        </w:rPr>
      </w:pPr>
    </w:p>
    <w:p w14:paraId="23ADDBA3" w14:textId="41E8F778" w:rsidR="00DC14CA" w:rsidRPr="00127D3E" w:rsidRDefault="00560268" w:rsidP="00127D3E">
      <w:pPr>
        <w:rPr>
          <w:b/>
        </w:rPr>
      </w:pPr>
      <w:r>
        <w:rPr>
          <w:b/>
        </w:rPr>
        <w:t xml:space="preserve">Confidentiality and Integrity </w:t>
      </w:r>
      <w:r w:rsidR="004F5F55" w:rsidRPr="00127D3E">
        <w:rPr>
          <w:b/>
        </w:rPr>
        <w:t>Impact</w:t>
      </w:r>
    </w:p>
    <w:tbl>
      <w:tblPr>
        <w:tblStyle w:val="TableGrid"/>
        <w:tblW w:w="8818" w:type="dxa"/>
        <w:tblLook w:val="04A0" w:firstRow="1" w:lastRow="0" w:firstColumn="1" w:lastColumn="0" w:noHBand="0" w:noVBand="1"/>
      </w:tblPr>
      <w:tblGrid>
        <w:gridCol w:w="1555"/>
        <w:gridCol w:w="7263"/>
      </w:tblGrid>
      <w:tr w:rsidR="004F5F55" w:rsidRPr="003457BB" w14:paraId="5B8105A8" w14:textId="77777777" w:rsidTr="00237B80">
        <w:tc>
          <w:tcPr>
            <w:tcW w:w="1555" w:type="dxa"/>
            <w:noWrap/>
            <w:hideMark/>
          </w:tcPr>
          <w:p w14:paraId="2DF44D06" w14:textId="68D003F0" w:rsidR="004F5F55" w:rsidRPr="00E83E71" w:rsidRDefault="00083214" w:rsidP="00127D3E">
            <w:pPr>
              <w:rPr>
                <w:b/>
                <w:bCs/>
              </w:rPr>
            </w:pPr>
            <w:r w:rsidRPr="00E83E71">
              <w:rPr>
                <w:b/>
                <w:bCs/>
              </w:rPr>
              <w:t>Level</w:t>
            </w:r>
          </w:p>
        </w:tc>
        <w:tc>
          <w:tcPr>
            <w:tcW w:w="7263" w:type="dxa"/>
            <w:noWrap/>
            <w:hideMark/>
          </w:tcPr>
          <w:p w14:paraId="103BA6F7" w14:textId="77777777" w:rsidR="004F5F55" w:rsidRPr="00E83E71" w:rsidRDefault="004F5F55" w:rsidP="00127D3E">
            <w:pPr>
              <w:rPr>
                <w:b/>
                <w:bCs/>
              </w:rPr>
            </w:pPr>
            <w:r w:rsidRPr="00E83E71">
              <w:rPr>
                <w:b/>
                <w:bCs/>
              </w:rPr>
              <w:t>Description</w:t>
            </w:r>
          </w:p>
        </w:tc>
      </w:tr>
      <w:tr w:rsidR="00146054" w:rsidRPr="003457BB" w14:paraId="24978F53" w14:textId="77777777" w:rsidTr="006269CA">
        <w:tc>
          <w:tcPr>
            <w:tcW w:w="1555" w:type="dxa"/>
            <w:noWrap/>
            <w:vAlign w:val="center"/>
          </w:tcPr>
          <w:p w14:paraId="7964EE3E" w14:textId="407B2E46" w:rsidR="00146054" w:rsidRPr="003457BB" w:rsidRDefault="00146054" w:rsidP="006269CA">
            <w:r>
              <w:t>None</w:t>
            </w:r>
          </w:p>
        </w:tc>
        <w:tc>
          <w:tcPr>
            <w:tcW w:w="7263" w:type="dxa"/>
            <w:noWrap/>
          </w:tcPr>
          <w:p w14:paraId="3014AF58" w14:textId="514D3E87" w:rsidR="00146054" w:rsidRPr="003457BB" w:rsidRDefault="00146054" w:rsidP="00127D3E">
            <w:r>
              <w:t>The risk does not affect this area</w:t>
            </w:r>
          </w:p>
        </w:tc>
      </w:tr>
      <w:tr w:rsidR="004F5F55" w:rsidRPr="003457BB" w14:paraId="1EA9CE21" w14:textId="77777777" w:rsidTr="006269CA">
        <w:tc>
          <w:tcPr>
            <w:tcW w:w="1555" w:type="dxa"/>
            <w:noWrap/>
            <w:vAlign w:val="center"/>
            <w:hideMark/>
          </w:tcPr>
          <w:p w14:paraId="7FC2D325" w14:textId="041AEFBC" w:rsidR="004F5F55" w:rsidRPr="003457BB" w:rsidRDefault="00237B80" w:rsidP="006269CA">
            <w:r w:rsidRPr="003457BB">
              <w:t>Insignificant</w:t>
            </w:r>
          </w:p>
        </w:tc>
        <w:tc>
          <w:tcPr>
            <w:tcW w:w="7263" w:type="dxa"/>
            <w:noWrap/>
            <w:hideMark/>
          </w:tcPr>
          <w:p w14:paraId="463C9EED" w14:textId="37988A08" w:rsidR="004F5F55" w:rsidRPr="003457BB" w:rsidRDefault="004F5F55" w:rsidP="00127D3E">
            <w:r w:rsidRPr="003457BB">
              <w:t xml:space="preserve">(i.e. Very Low) - negligible or no damage to business operation and reputation with no costs or consequences </w:t>
            </w:r>
          </w:p>
        </w:tc>
      </w:tr>
      <w:tr w:rsidR="004F5F55" w:rsidRPr="003457BB" w14:paraId="0FEC2AF1" w14:textId="77777777" w:rsidTr="006269CA">
        <w:tc>
          <w:tcPr>
            <w:tcW w:w="1555" w:type="dxa"/>
            <w:noWrap/>
            <w:vAlign w:val="center"/>
            <w:hideMark/>
          </w:tcPr>
          <w:p w14:paraId="73558E45" w14:textId="6EAD9FE5" w:rsidR="004F5F55" w:rsidRPr="003457BB" w:rsidRDefault="00237B80" w:rsidP="006269CA">
            <w:r w:rsidRPr="003457BB">
              <w:t>Minor</w:t>
            </w:r>
          </w:p>
        </w:tc>
        <w:tc>
          <w:tcPr>
            <w:tcW w:w="7263" w:type="dxa"/>
            <w:noWrap/>
            <w:hideMark/>
          </w:tcPr>
          <w:p w14:paraId="343FD571" w14:textId="141EC003" w:rsidR="004F5F55" w:rsidRPr="003457BB" w:rsidRDefault="004F5F55" w:rsidP="00127D3E">
            <w:r w:rsidRPr="003457BB">
              <w:t>Low damage to business operation or reputation with negli</w:t>
            </w:r>
            <w:r w:rsidR="00B47ED2">
              <w:t>gi</w:t>
            </w:r>
            <w:r w:rsidRPr="003457BB">
              <w:t>ble costs or consequences</w:t>
            </w:r>
          </w:p>
        </w:tc>
      </w:tr>
      <w:tr w:rsidR="004F5F55" w:rsidRPr="003457BB" w14:paraId="0B9C8FF8" w14:textId="77777777" w:rsidTr="006269CA">
        <w:tc>
          <w:tcPr>
            <w:tcW w:w="1555" w:type="dxa"/>
            <w:noWrap/>
            <w:vAlign w:val="center"/>
            <w:hideMark/>
          </w:tcPr>
          <w:p w14:paraId="72381FB0" w14:textId="250FC10E" w:rsidR="004F5F55" w:rsidRPr="003457BB" w:rsidRDefault="00237B80" w:rsidP="006269CA">
            <w:r w:rsidRPr="003457BB">
              <w:t>Moderate</w:t>
            </w:r>
          </w:p>
        </w:tc>
        <w:tc>
          <w:tcPr>
            <w:tcW w:w="7263" w:type="dxa"/>
            <w:noWrap/>
            <w:hideMark/>
          </w:tcPr>
          <w:p w14:paraId="6E248F5B" w14:textId="7FC00A5B" w:rsidR="004F5F55" w:rsidRPr="003457BB" w:rsidRDefault="004F5F55" w:rsidP="00127D3E">
            <w:r w:rsidRPr="003457BB">
              <w:t xml:space="preserve">Some damage or loss to business operation or reputation with some cost exposure but not affecting future prospects </w:t>
            </w:r>
          </w:p>
        </w:tc>
      </w:tr>
      <w:tr w:rsidR="004F5F55" w:rsidRPr="003457BB" w14:paraId="3C159BC5" w14:textId="77777777" w:rsidTr="006269CA">
        <w:tc>
          <w:tcPr>
            <w:tcW w:w="1555" w:type="dxa"/>
            <w:noWrap/>
            <w:vAlign w:val="center"/>
            <w:hideMark/>
          </w:tcPr>
          <w:p w14:paraId="104BE4F4" w14:textId="0EE43923" w:rsidR="004F5F55" w:rsidRPr="003457BB" w:rsidRDefault="00237B80" w:rsidP="006269CA">
            <w:r w:rsidRPr="003457BB">
              <w:lastRenderedPageBreak/>
              <w:t>Major</w:t>
            </w:r>
          </w:p>
        </w:tc>
        <w:tc>
          <w:tcPr>
            <w:tcW w:w="7263" w:type="dxa"/>
            <w:noWrap/>
            <w:hideMark/>
          </w:tcPr>
          <w:p w14:paraId="4A9B1F89" w14:textId="623CD4FD" w:rsidR="004F5F55" w:rsidRPr="003457BB" w:rsidRDefault="004F5F55" w:rsidP="00127D3E">
            <w:r w:rsidRPr="003457BB">
              <w:t xml:space="preserve">Serious but not complete damage to business operation or reputation with large cost exposure and affecting future prospects </w:t>
            </w:r>
          </w:p>
        </w:tc>
      </w:tr>
      <w:tr w:rsidR="004F5F55" w:rsidRPr="003457BB" w14:paraId="629A5AB8" w14:textId="77777777" w:rsidTr="006269CA">
        <w:tc>
          <w:tcPr>
            <w:tcW w:w="1555" w:type="dxa"/>
            <w:noWrap/>
            <w:vAlign w:val="center"/>
            <w:hideMark/>
          </w:tcPr>
          <w:p w14:paraId="2405959B" w14:textId="6B49E7AD" w:rsidR="004F5F55" w:rsidRPr="003457BB" w:rsidRDefault="00237B80" w:rsidP="006269CA">
            <w:r w:rsidRPr="003457BB">
              <w:t>Severe</w:t>
            </w:r>
          </w:p>
        </w:tc>
        <w:tc>
          <w:tcPr>
            <w:tcW w:w="7263" w:type="dxa"/>
            <w:noWrap/>
            <w:hideMark/>
          </w:tcPr>
          <w:p w14:paraId="05492844" w14:textId="77777777" w:rsidR="004F5F55" w:rsidRPr="003457BB" w:rsidRDefault="004F5F55" w:rsidP="00127D3E">
            <w:r w:rsidRPr="003457BB">
              <w:t>Severe damage to business operation or reputation with very large cost exposure and leaving no future prospects</w:t>
            </w:r>
          </w:p>
        </w:tc>
      </w:tr>
    </w:tbl>
    <w:p w14:paraId="392A4941" w14:textId="3332E0DB" w:rsidR="004F5F55" w:rsidRPr="00354A3B" w:rsidRDefault="004F5F55" w:rsidP="00127D3E">
      <w:r w:rsidRPr="003457BB">
        <w:t> </w:t>
      </w:r>
      <w:r w:rsidR="00354A3B">
        <w:br/>
      </w:r>
      <w:r w:rsidRPr="00127D3E">
        <w:rPr>
          <w:b/>
        </w:rPr>
        <w:t>Availability</w:t>
      </w:r>
      <w:r w:rsidR="00560268">
        <w:rPr>
          <w:b/>
        </w:rPr>
        <w:t xml:space="preserve"> Impact </w:t>
      </w:r>
    </w:p>
    <w:tbl>
      <w:tblPr>
        <w:tblStyle w:val="TableGrid"/>
        <w:tblW w:w="8784" w:type="dxa"/>
        <w:tblLayout w:type="fixed"/>
        <w:tblLook w:val="04A0" w:firstRow="1" w:lastRow="0" w:firstColumn="1" w:lastColumn="0" w:noHBand="0" w:noVBand="1"/>
      </w:tblPr>
      <w:tblGrid>
        <w:gridCol w:w="1555"/>
        <w:gridCol w:w="7229"/>
      </w:tblGrid>
      <w:tr w:rsidR="004F5F55" w:rsidRPr="003457BB" w14:paraId="1C87E0F7" w14:textId="77777777" w:rsidTr="00237B80">
        <w:tc>
          <w:tcPr>
            <w:tcW w:w="1555" w:type="dxa"/>
            <w:noWrap/>
            <w:hideMark/>
          </w:tcPr>
          <w:p w14:paraId="26491D48" w14:textId="77777777" w:rsidR="004F5F55" w:rsidRPr="00E83E71" w:rsidRDefault="004F5F55" w:rsidP="00127D3E">
            <w:pPr>
              <w:rPr>
                <w:b/>
                <w:bCs/>
              </w:rPr>
            </w:pPr>
            <w:r w:rsidRPr="00E83E71">
              <w:rPr>
                <w:b/>
                <w:bCs/>
              </w:rPr>
              <w:t>Score</w:t>
            </w:r>
          </w:p>
        </w:tc>
        <w:tc>
          <w:tcPr>
            <w:tcW w:w="7229" w:type="dxa"/>
            <w:noWrap/>
            <w:hideMark/>
          </w:tcPr>
          <w:p w14:paraId="5DF509DA" w14:textId="77777777" w:rsidR="004F5F55" w:rsidRPr="00E83E71" w:rsidRDefault="004F5F55" w:rsidP="00127D3E">
            <w:pPr>
              <w:rPr>
                <w:b/>
                <w:bCs/>
              </w:rPr>
            </w:pPr>
            <w:r w:rsidRPr="00E83E71">
              <w:rPr>
                <w:b/>
                <w:bCs/>
              </w:rPr>
              <w:t>Description</w:t>
            </w:r>
          </w:p>
        </w:tc>
      </w:tr>
      <w:tr w:rsidR="00146054" w:rsidRPr="003457BB" w14:paraId="7BC6BD63" w14:textId="77777777" w:rsidTr="006269CA">
        <w:tc>
          <w:tcPr>
            <w:tcW w:w="1555" w:type="dxa"/>
            <w:noWrap/>
            <w:vAlign w:val="center"/>
          </w:tcPr>
          <w:p w14:paraId="5B61FDBF" w14:textId="28562E52" w:rsidR="00146054" w:rsidRPr="003457BB" w:rsidRDefault="00146054" w:rsidP="006269CA">
            <w:r>
              <w:t>None</w:t>
            </w:r>
          </w:p>
        </w:tc>
        <w:tc>
          <w:tcPr>
            <w:tcW w:w="7229" w:type="dxa"/>
            <w:noWrap/>
          </w:tcPr>
          <w:p w14:paraId="595061DA" w14:textId="07A6CC47" w:rsidR="00146054" w:rsidRDefault="00146054" w:rsidP="00127D3E">
            <w:r>
              <w:t>The risk does not affect this area</w:t>
            </w:r>
          </w:p>
        </w:tc>
      </w:tr>
      <w:tr w:rsidR="004F5F55" w:rsidRPr="003457BB" w14:paraId="5D4E13D2" w14:textId="77777777" w:rsidTr="006269CA">
        <w:tc>
          <w:tcPr>
            <w:tcW w:w="1555" w:type="dxa"/>
            <w:noWrap/>
            <w:vAlign w:val="center"/>
            <w:hideMark/>
          </w:tcPr>
          <w:p w14:paraId="23CE255F" w14:textId="1FFAE0B2" w:rsidR="004F5F55" w:rsidRPr="003457BB" w:rsidRDefault="00237B80" w:rsidP="006269CA">
            <w:r w:rsidRPr="003457BB">
              <w:t>Insignificant</w:t>
            </w:r>
          </w:p>
        </w:tc>
        <w:tc>
          <w:tcPr>
            <w:tcW w:w="7229" w:type="dxa"/>
            <w:noWrap/>
            <w:hideMark/>
          </w:tcPr>
          <w:p w14:paraId="367C657C" w14:textId="6CDE9556" w:rsidR="004F5F55" w:rsidRPr="003457BB" w:rsidRDefault="00237B80" w:rsidP="00127D3E">
            <w:r>
              <w:t>C</w:t>
            </w:r>
            <w:r w:rsidR="004F5F55" w:rsidRPr="003457BB">
              <w:t>an be absorbed and shows no measurable impact - no service disruption</w:t>
            </w:r>
          </w:p>
        </w:tc>
      </w:tr>
      <w:tr w:rsidR="004F5F55" w:rsidRPr="003457BB" w14:paraId="0AB7C264" w14:textId="77777777" w:rsidTr="006269CA">
        <w:tc>
          <w:tcPr>
            <w:tcW w:w="1555" w:type="dxa"/>
            <w:noWrap/>
            <w:vAlign w:val="center"/>
            <w:hideMark/>
          </w:tcPr>
          <w:p w14:paraId="175B4DF6" w14:textId="0B07532B" w:rsidR="004F5F55" w:rsidRPr="003457BB" w:rsidRDefault="00237B80" w:rsidP="006269CA">
            <w:r w:rsidRPr="003457BB">
              <w:t>Minor</w:t>
            </w:r>
          </w:p>
        </w:tc>
        <w:tc>
          <w:tcPr>
            <w:tcW w:w="7229" w:type="dxa"/>
            <w:noWrap/>
            <w:hideMark/>
          </w:tcPr>
          <w:p w14:paraId="24CA94B6" w14:textId="2D15B5BD" w:rsidR="004F5F55" w:rsidRPr="003457BB" w:rsidRDefault="004F5F55" w:rsidP="00127D3E">
            <w:r w:rsidRPr="003457BB">
              <w:t>Work distraction; minor increases in support or costs - low disruption to service</w:t>
            </w:r>
          </w:p>
        </w:tc>
      </w:tr>
      <w:tr w:rsidR="004F5F55" w:rsidRPr="003457BB" w14:paraId="4F3EBC8C" w14:textId="77777777" w:rsidTr="006269CA">
        <w:tc>
          <w:tcPr>
            <w:tcW w:w="1555" w:type="dxa"/>
            <w:noWrap/>
            <w:vAlign w:val="center"/>
            <w:hideMark/>
          </w:tcPr>
          <w:p w14:paraId="46A9399D" w14:textId="061CB491" w:rsidR="004F5F55" w:rsidRPr="003457BB" w:rsidRDefault="00237B80" w:rsidP="006269CA">
            <w:r w:rsidRPr="003457BB">
              <w:t>Moderate</w:t>
            </w:r>
          </w:p>
        </w:tc>
        <w:tc>
          <w:tcPr>
            <w:tcW w:w="7229" w:type="dxa"/>
            <w:noWrap/>
            <w:hideMark/>
          </w:tcPr>
          <w:p w14:paraId="65141A38" w14:textId="27D85AB4" w:rsidR="004F5F55" w:rsidRPr="003457BB" w:rsidRDefault="004F5F55" w:rsidP="00127D3E">
            <w:r w:rsidRPr="003457BB">
              <w:t>Work delays; noticeable impact to costs and productivity - short disruption to service</w:t>
            </w:r>
          </w:p>
        </w:tc>
      </w:tr>
      <w:tr w:rsidR="004F5F55" w:rsidRPr="003457BB" w14:paraId="66F815F9" w14:textId="77777777" w:rsidTr="006269CA">
        <w:tc>
          <w:tcPr>
            <w:tcW w:w="1555" w:type="dxa"/>
            <w:noWrap/>
            <w:vAlign w:val="center"/>
            <w:hideMark/>
          </w:tcPr>
          <w:p w14:paraId="34D41769" w14:textId="0E2BCA6A" w:rsidR="004F5F55" w:rsidRPr="003457BB" w:rsidRDefault="00237B80" w:rsidP="006269CA">
            <w:r w:rsidRPr="003457BB">
              <w:t>Major</w:t>
            </w:r>
          </w:p>
        </w:tc>
        <w:tc>
          <w:tcPr>
            <w:tcW w:w="7229" w:type="dxa"/>
            <w:noWrap/>
            <w:hideMark/>
          </w:tcPr>
          <w:p w14:paraId="4792D4BC" w14:textId="27DFB532" w:rsidR="004F5F55" w:rsidRPr="003457BB" w:rsidRDefault="00237B80" w:rsidP="00127D3E">
            <w:r>
              <w:t>W</w:t>
            </w:r>
            <w:r w:rsidR="004F5F55" w:rsidRPr="003457BB">
              <w:t>ork interruption; business commitments delayed with serious costs</w:t>
            </w:r>
          </w:p>
        </w:tc>
      </w:tr>
      <w:tr w:rsidR="004F5F55" w:rsidRPr="003457BB" w14:paraId="28E34653" w14:textId="77777777" w:rsidTr="006269CA">
        <w:tc>
          <w:tcPr>
            <w:tcW w:w="1555" w:type="dxa"/>
            <w:noWrap/>
            <w:vAlign w:val="center"/>
            <w:hideMark/>
          </w:tcPr>
          <w:p w14:paraId="566FDDF4" w14:textId="02157F71" w:rsidR="004F5F55" w:rsidRPr="003457BB" w:rsidRDefault="006269CA" w:rsidP="006269CA">
            <w:r>
              <w:t>Severe</w:t>
            </w:r>
          </w:p>
        </w:tc>
        <w:tc>
          <w:tcPr>
            <w:tcW w:w="7229" w:type="dxa"/>
            <w:noWrap/>
            <w:hideMark/>
          </w:tcPr>
          <w:p w14:paraId="1CA2B415" w14:textId="35046005" w:rsidR="004F5F55" w:rsidRPr="003457BB" w:rsidRDefault="004F5F55" w:rsidP="00127D3E">
            <w:r w:rsidRPr="003457BB">
              <w:t>Work stoppage and extended service closure; substantial support costs</w:t>
            </w:r>
          </w:p>
        </w:tc>
      </w:tr>
    </w:tbl>
    <w:p w14:paraId="593B45A9" w14:textId="79F145F0" w:rsidR="006269CA" w:rsidRPr="00560268" w:rsidRDefault="00127D3E" w:rsidP="00127D3E">
      <w:pPr>
        <w:rPr>
          <w:i/>
          <w:iCs/>
        </w:rPr>
      </w:pPr>
      <w:r>
        <w:br/>
      </w:r>
      <w:r w:rsidR="004F5F55" w:rsidRPr="00560268">
        <w:rPr>
          <w:b/>
          <w:i/>
          <w:iCs/>
        </w:rPr>
        <w:t>Confidentiality</w:t>
      </w:r>
    </w:p>
    <w:p w14:paraId="57968920" w14:textId="06C1F0B0" w:rsidR="004F5F55" w:rsidRPr="006269CA" w:rsidRDefault="006269CA" w:rsidP="00127D3E">
      <w:r w:rsidRPr="006269CA">
        <w:t>I</w:t>
      </w:r>
      <w:r w:rsidR="004F5F55" w:rsidRPr="006269CA">
        <w:t xml:space="preserve">nformation is not made available or disclosed to unauthorised individuals, entities, or processes, i.e. it means ensuring that information held is only accessible to those who are authorised to see it (within a defined group of users). </w:t>
      </w:r>
    </w:p>
    <w:p w14:paraId="4517807E" w14:textId="4A75B320" w:rsidR="004F5F55" w:rsidRPr="006269CA" w:rsidRDefault="004F5F55" w:rsidP="00127D3E">
      <w:r w:rsidRPr="006269CA">
        <w:t>A breach of confidentiality is where the information concerned is disclosed</w:t>
      </w:r>
      <w:r w:rsidR="001F1737" w:rsidRPr="006269CA">
        <w:t xml:space="preserve">, </w:t>
      </w:r>
      <w:r w:rsidRPr="006269CA">
        <w:t>maliciously or accidentally</w:t>
      </w:r>
      <w:r w:rsidR="001F1737" w:rsidRPr="006269CA">
        <w:t>,</w:t>
      </w:r>
      <w:r w:rsidRPr="006269CA">
        <w:t xml:space="preserve"> and can be assumed to come into the hands of unauthorised persons</w:t>
      </w:r>
      <w:r w:rsidR="001F1737" w:rsidRPr="006269CA">
        <w:t>. T</w:t>
      </w:r>
      <w:r w:rsidRPr="006269CA">
        <w:t>his also encompasses accidental misrouting to an unintended party.</w:t>
      </w:r>
    </w:p>
    <w:p w14:paraId="4D1DA1D4" w14:textId="77777777" w:rsidR="006269CA" w:rsidRPr="00560268" w:rsidRDefault="004F5F55" w:rsidP="00425C05">
      <w:pPr>
        <w:rPr>
          <w:b/>
          <w:i/>
          <w:iCs/>
        </w:rPr>
      </w:pPr>
      <w:r w:rsidRPr="00560268">
        <w:rPr>
          <w:b/>
          <w:i/>
          <w:iCs/>
        </w:rPr>
        <w:t>Integrity</w:t>
      </w:r>
    </w:p>
    <w:p w14:paraId="1EF95791" w14:textId="242E3B49" w:rsidR="00425C05" w:rsidRPr="002C1937" w:rsidRDefault="006269CA" w:rsidP="00425C05">
      <w:r w:rsidRPr="006269CA">
        <w:rPr>
          <w:bCs/>
        </w:rPr>
        <w:t>S</w:t>
      </w:r>
      <w:r w:rsidR="004F5F55" w:rsidRPr="002C1937">
        <w:t xml:space="preserve">afeguarding the accuracy and completeness of </w:t>
      </w:r>
      <w:r w:rsidR="002C0FEB">
        <w:t>information</w:t>
      </w:r>
      <w:r w:rsidR="001F1737">
        <w:t>. E</w:t>
      </w:r>
      <w:r w:rsidR="004F5F55" w:rsidRPr="002C1937">
        <w:t xml:space="preserve">nsuring </w:t>
      </w:r>
      <w:r w:rsidR="001F1737">
        <w:t>i</w:t>
      </w:r>
      <w:r w:rsidR="004F5F55" w:rsidRPr="002C1937">
        <w:t xml:space="preserve">t </w:t>
      </w:r>
      <w:r w:rsidR="001F1737">
        <w:t xml:space="preserve">is </w:t>
      </w:r>
      <w:r w:rsidR="004F5F55" w:rsidRPr="002C1937">
        <w:t xml:space="preserve">a sound representation of authorised business processes or persons. </w:t>
      </w:r>
      <w:r w:rsidR="00425C05" w:rsidRPr="002C1937">
        <w:t xml:space="preserve">Integrity addresses </w:t>
      </w:r>
      <w:r w:rsidR="00425C05">
        <w:t>the following</w:t>
      </w:r>
      <w:r w:rsidR="00425C05" w:rsidRPr="002C1937">
        <w:t xml:space="preserve"> aspects: completeness, accuracy, validity, ma</w:t>
      </w:r>
      <w:r w:rsidR="00425C05">
        <w:t>intenance of stored information including timeliness of updates.</w:t>
      </w:r>
      <w:r w:rsidR="00425C05" w:rsidRPr="002C1937">
        <w:t xml:space="preserve"> </w:t>
      </w:r>
    </w:p>
    <w:p w14:paraId="435F7156" w14:textId="46ADEA3C" w:rsidR="004F5F55" w:rsidRPr="002C1937" w:rsidRDefault="004F5F55" w:rsidP="00127D3E">
      <w:r w:rsidRPr="002C1937">
        <w:t>A breach of integrity is where the information concerned is deliberately or accidentally altered</w:t>
      </w:r>
      <w:r w:rsidR="00A84AB9">
        <w:t>;</w:t>
      </w:r>
      <w:r w:rsidRPr="002C1937">
        <w:t xml:space="preserve"> it has arrived out of sequence or its integrity has otherwise been compromised during the course of transaction</w:t>
      </w:r>
      <w:r w:rsidR="00A84AB9">
        <w:t>;</w:t>
      </w:r>
      <w:r w:rsidRPr="002C1937">
        <w:t xml:space="preserve"> </w:t>
      </w:r>
      <w:r w:rsidR="00A84AB9">
        <w:t xml:space="preserve">or </w:t>
      </w:r>
      <w:r w:rsidRPr="002C1937">
        <w:t xml:space="preserve">it </w:t>
      </w:r>
      <w:r w:rsidR="00A84AB9">
        <w:t>has</w:t>
      </w:r>
      <w:r w:rsidRPr="002C1937">
        <w:t xml:space="preserve"> been duplicated</w:t>
      </w:r>
      <w:r w:rsidR="00A84AB9">
        <w:t xml:space="preserve"> or deleted</w:t>
      </w:r>
      <w:r w:rsidRPr="002C1937">
        <w:t xml:space="preserve">. </w:t>
      </w:r>
    </w:p>
    <w:p w14:paraId="2AEF3B75" w14:textId="77777777" w:rsidR="006269CA" w:rsidRPr="00560268" w:rsidRDefault="004F5F55" w:rsidP="00127D3E">
      <w:pPr>
        <w:rPr>
          <w:i/>
          <w:iCs/>
        </w:rPr>
      </w:pPr>
      <w:r w:rsidRPr="00560268">
        <w:rPr>
          <w:b/>
          <w:i/>
          <w:iCs/>
        </w:rPr>
        <w:t>Availability</w:t>
      </w:r>
      <w:r w:rsidRPr="00560268">
        <w:rPr>
          <w:i/>
          <w:iCs/>
        </w:rPr>
        <w:t xml:space="preserve"> </w:t>
      </w:r>
    </w:p>
    <w:p w14:paraId="6F44CB46" w14:textId="50701603" w:rsidR="004F5F55" w:rsidRDefault="006269CA" w:rsidP="00127D3E">
      <w:r>
        <w:t>B</w:t>
      </w:r>
      <w:r w:rsidR="004F5F55" w:rsidRPr="002C1937">
        <w:t xml:space="preserve">eing accessible and usable upon demand by an authorised entity, i.e. meaning ensuring that information and/or service is available when required for business operations. </w:t>
      </w:r>
    </w:p>
    <w:p w14:paraId="0AA809FB" w14:textId="77094F32" w:rsidR="004F5F55" w:rsidRDefault="004F5F55" w:rsidP="00127D3E">
      <w:r w:rsidRPr="002C1937">
        <w:lastRenderedPageBreak/>
        <w:t xml:space="preserve">A breach of availability is the inability to transact in expected or contracted time-scales due to flaws in the process or due to the effects of a disaster or failure. </w:t>
      </w:r>
    </w:p>
    <w:p w14:paraId="3B3036C3" w14:textId="77777777" w:rsidR="006269CA" w:rsidRDefault="006269CA" w:rsidP="00127D3E"/>
    <w:p w14:paraId="647570A7" w14:textId="0374B1CA" w:rsidR="00F668DA" w:rsidRPr="00EC1164" w:rsidRDefault="006269CA" w:rsidP="006269CA">
      <w:pPr>
        <w:pStyle w:val="Heading2"/>
      </w:pPr>
      <w:bookmarkStart w:id="6" w:name="_Toc94210253"/>
      <w:r>
        <w:rPr>
          <w:noProof/>
        </w:rPr>
        <w:drawing>
          <wp:anchor distT="0" distB="0" distL="114300" distR="114300" simplePos="0" relativeHeight="251672576" behindDoc="0" locked="0" layoutInCell="1" allowOverlap="1" wp14:anchorId="5223FBB8" wp14:editId="5DECE406">
            <wp:simplePos x="0" y="0"/>
            <wp:positionH relativeFrom="column">
              <wp:posOffset>3496987</wp:posOffset>
            </wp:positionH>
            <wp:positionV relativeFrom="paragraph">
              <wp:posOffset>511879</wp:posOffset>
            </wp:positionV>
            <wp:extent cx="2750400" cy="285840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1-25 at 10.30.07.png"/>
                    <pic:cNvPicPr/>
                  </pic:nvPicPr>
                  <pic:blipFill>
                    <a:blip r:embed="rId12"/>
                    <a:stretch>
                      <a:fillRect/>
                    </a:stretch>
                  </pic:blipFill>
                  <pic:spPr>
                    <a:xfrm>
                      <a:off x="0" y="0"/>
                      <a:ext cx="2750400" cy="2858400"/>
                    </a:xfrm>
                    <a:prstGeom prst="rect">
                      <a:avLst/>
                    </a:prstGeom>
                  </pic:spPr>
                </pic:pic>
              </a:graphicData>
            </a:graphic>
            <wp14:sizeRelH relativeFrom="page">
              <wp14:pctWidth>0</wp14:pctWidth>
            </wp14:sizeRelH>
            <wp14:sizeRelV relativeFrom="page">
              <wp14:pctHeight>0</wp14:pctHeight>
            </wp14:sizeRelV>
          </wp:anchor>
        </w:drawing>
      </w:r>
      <w:r w:rsidR="00EC1164" w:rsidRPr="00EC1164">
        <w:t>Treating risks</w:t>
      </w:r>
      <w:bookmarkEnd w:id="6"/>
    </w:p>
    <w:p w14:paraId="775EEE37" w14:textId="43E177A1" w:rsidR="00FD57B2" w:rsidRDefault="00FD57B2" w:rsidP="00127D3E">
      <w:r>
        <w:t xml:space="preserve">The </w:t>
      </w:r>
      <w:r w:rsidR="00E56883">
        <w:t>Risks</w:t>
      </w:r>
      <w:r w:rsidR="006269CA">
        <w:t xml:space="preserve"> &amp; Treatments tool </w:t>
      </w:r>
      <w:r>
        <w:t>within the ISMS</w:t>
      </w:r>
      <w:r w:rsidR="006269CA">
        <w:t>.online uses a 5 x 5 grid. Once assessed each risk is placed on the map in a position based on its likelihood and impact.</w:t>
      </w:r>
      <w:r w:rsidR="00BC55D1">
        <w:t xml:space="preserve"> Each position has a unique number for easy identification.</w:t>
      </w:r>
    </w:p>
    <w:p w14:paraId="6D14787C" w14:textId="1136D6E0" w:rsidR="00F32544" w:rsidRDefault="006138EB" w:rsidP="00127D3E">
      <w:r w:rsidRPr="00491C80">
        <w:t>The higher the number, the greater the overall risk</w:t>
      </w:r>
      <w:r w:rsidR="0070031E">
        <w:t xml:space="preserve">; </w:t>
      </w:r>
      <w:r>
        <w:t>with impact being considered more important than likelihood</w:t>
      </w:r>
      <w:r w:rsidRPr="00491C80">
        <w:t>.</w:t>
      </w:r>
      <w:r w:rsidR="00BC55D1">
        <w:t xml:space="preserve"> </w:t>
      </w:r>
      <w:r w:rsidR="006269CA">
        <w:t>Frequency of m</w:t>
      </w:r>
      <w:r w:rsidRPr="00491C80">
        <w:t xml:space="preserve">onitoring </w:t>
      </w:r>
      <w:r w:rsidR="006269CA">
        <w:t>is determined by the overall risk level indicated by the coloured squares on the map with reviews taking place:</w:t>
      </w:r>
    </w:p>
    <w:p w14:paraId="73F850A6" w14:textId="3A6528C5" w:rsidR="00F32544" w:rsidRDefault="00F32544" w:rsidP="006269CA">
      <w:pPr>
        <w:pStyle w:val="ListParagraph"/>
        <w:numPr>
          <w:ilvl w:val="0"/>
          <w:numId w:val="48"/>
        </w:numPr>
      </w:pPr>
      <w:r>
        <w:t xml:space="preserve">For positions </w:t>
      </w:r>
      <w:r w:rsidR="006269CA">
        <w:t xml:space="preserve">1 to 5 </w:t>
      </w:r>
      <w:r w:rsidR="00146054">
        <w:t>in the green</w:t>
      </w:r>
      <w:r w:rsidR="006269CA">
        <w:t>,</w:t>
      </w:r>
      <w:r>
        <w:t xml:space="preserve"> at least annually</w:t>
      </w:r>
    </w:p>
    <w:p w14:paraId="7FD62CF5" w14:textId="693AFA05" w:rsidR="00F32544" w:rsidRDefault="00F32544" w:rsidP="006269CA">
      <w:pPr>
        <w:pStyle w:val="ListParagraph"/>
        <w:numPr>
          <w:ilvl w:val="0"/>
          <w:numId w:val="48"/>
        </w:numPr>
      </w:pPr>
      <w:r>
        <w:t xml:space="preserve">For positions </w:t>
      </w:r>
      <w:r w:rsidR="006269CA">
        <w:t xml:space="preserve">6 to 14 </w:t>
      </w:r>
      <w:r w:rsidR="00146054">
        <w:t>in the</w:t>
      </w:r>
      <w:r>
        <w:t xml:space="preserve"> </w:t>
      </w:r>
      <w:r w:rsidR="006269CA">
        <w:t xml:space="preserve">yellow, </w:t>
      </w:r>
      <w:r>
        <w:t xml:space="preserve">at least </w:t>
      </w:r>
      <w:r w:rsidR="006269CA">
        <w:t xml:space="preserve">every </w:t>
      </w:r>
      <w:r>
        <w:t>six month</w:t>
      </w:r>
      <w:r w:rsidR="006269CA">
        <w:t>s</w:t>
      </w:r>
    </w:p>
    <w:p w14:paraId="5687AABD" w14:textId="67527B56" w:rsidR="00F32544" w:rsidRDefault="00F32544" w:rsidP="006269CA">
      <w:pPr>
        <w:pStyle w:val="ListParagraph"/>
        <w:numPr>
          <w:ilvl w:val="0"/>
          <w:numId w:val="48"/>
        </w:numPr>
      </w:pPr>
      <w:r>
        <w:t xml:space="preserve">For positions </w:t>
      </w:r>
      <w:r w:rsidR="006269CA">
        <w:t xml:space="preserve">15 to 20 </w:t>
      </w:r>
      <w:r w:rsidR="00146054">
        <w:t xml:space="preserve">in the </w:t>
      </w:r>
      <w:r>
        <w:t>red</w:t>
      </w:r>
      <w:r w:rsidR="006269CA">
        <w:t>,</w:t>
      </w:r>
      <w:r>
        <w:t xml:space="preserve"> at least quarterly</w:t>
      </w:r>
    </w:p>
    <w:p w14:paraId="2DADF8B1" w14:textId="7B6D2D4C" w:rsidR="00F32544" w:rsidRDefault="00F32544" w:rsidP="006269CA">
      <w:pPr>
        <w:pStyle w:val="ListParagraph"/>
        <w:numPr>
          <w:ilvl w:val="0"/>
          <w:numId w:val="48"/>
        </w:numPr>
      </w:pPr>
      <w:r>
        <w:t xml:space="preserve">For positions </w:t>
      </w:r>
      <w:r w:rsidR="006269CA">
        <w:t xml:space="preserve">21 to 25 </w:t>
      </w:r>
      <w:r w:rsidR="00146054">
        <w:t>in the b</w:t>
      </w:r>
      <w:r w:rsidR="00CA4117">
        <w:t>l</w:t>
      </w:r>
      <w:r w:rsidR="00146054">
        <w:t>ack</w:t>
      </w:r>
      <w:r w:rsidR="006269CA">
        <w:t xml:space="preserve">, </w:t>
      </w:r>
      <w:r>
        <w:t>at least monthly</w:t>
      </w:r>
    </w:p>
    <w:p w14:paraId="23A62B10" w14:textId="7EC20678" w:rsidR="00F73D86" w:rsidRDefault="00F73D86" w:rsidP="00127D3E">
      <w:r>
        <w:t>The</w:t>
      </w:r>
      <w:r w:rsidR="00D44D37">
        <w:t>se timelines are suggested automatically by the</w:t>
      </w:r>
      <w:r>
        <w:t xml:space="preserve"> </w:t>
      </w:r>
      <w:r w:rsidR="00E56883">
        <w:t>Risks</w:t>
      </w:r>
      <w:r w:rsidR="006269CA">
        <w:t xml:space="preserve"> &amp; Treatments tool </w:t>
      </w:r>
      <w:r w:rsidR="00D44D37">
        <w:t>and can be overridden if more frequent review is required</w:t>
      </w:r>
      <w:r>
        <w:t>.</w:t>
      </w:r>
      <w:r w:rsidR="00D44D37">
        <w:t xml:space="preserve"> The risk owner will be prompted in advance of the review date to review the risk.</w:t>
      </w:r>
    </w:p>
    <w:p w14:paraId="47F0F62D" w14:textId="6E4E5200" w:rsidR="006138EB" w:rsidRDefault="00FD57B2" w:rsidP="00FD57B2">
      <w:r>
        <w:t>The risk owner is responsible for identifying the appropriate treatment and considering the criteria for accepting (tolerating) the risk as follows:</w:t>
      </w:r>
    </w:p>
    <w:p w14:paraId="359671B7" w14:textId="0C30D294" w:rsidR="00FD57B2" w:rsidRPr="00354A3B" w:rsidRDefault="00FD57B2" w:rsidP="00FD57B2">
      <w:pPr>
        <w:pStyle w:val="ListParagraph"/>
      </w:pPr>
      <w:r w:rsidRPr="0099328D">
        <w:rPr>
          <w:b/>
          <w:bCs/>
        </w:rPr>
        <w:t>Terminate</w:t>
      </w:r>
      <w:r w:rsidRPr="00354A3B">
        <w:t xml:space="preserve"> </w:t>
      </w:r>
      <w:r w:rsidR="0099328D">
        <w:t xml:space="preserve">- </w:t>
      </w:r>
      <w:r w:rsidRPr="00354A3B">
        <w:t>the aim being to remove the risk entirely</w:t>
      </w:r>
    </w:p>
    <w:p w14:paraId="014BB990" w14:textId="0328989B" w:rsidR="00FD57B2" w:rsidRPr="00354A3B" w:rsidRDefault="00FD57B2" w:rsidP="00FD57B2">
      <w:pPr>
        <w:pStyle w:val="ListParagraph"/>
      </w:pPr>
      <w:r w:rsidRPr="0099328D">
        <w:rPr>
          <w:b/>
          <w:bCs/>
        </w:rPr>
        <w:t>Treat</w:t>
      </w:r>
      <w:r w:rsidR="0099328D">
        <w:t xml:space="preserve"> - </w:t>
      </w:r>
      <w:r w:rsidRPr="00354A3B">
        <w:t>the aim being to reduce its impact</w:t>
      </w:r>
      <w:r>
        <w:t xml:space="preserve"> and/</w:t>
      </w:r>
      <w:r w:rsidRPr="00354A3B">
        <w:t>or likelihood to more acceptable levels</w:t>
      </w:r>
    </w:p>
    <w:p w14:paraId="67953BA4" w14:textId="035EB0FC" w:rsidR="00FD57B2" w:rsidRPr="00354A3B" w:rsidRDefault="00FD57B2" w:rsidP="00FD57B2">
      <w:pPr>
        <w:pStyle w:val="ListParagraph"/>
      </w:pPr>
      <w:r w:rsidRPr="0099328D">
        <w:rPr>
          <w:b/>
          <w:bCs/>
        </w:rPr>
        <w:t>Transfer</w:t>
      </w:r>
      <w:r w:rsidR="0099328D">
        <w:t xml:space="preserve"> - </w:t>
      </w:r>
      <w:r w:rsidRPr="00354A3B">
        <w:t xml:space="preserve">the aim being to transfer </w:t>
      </w:r>
      <w:r>
        <w:t xml:space="preserve">or share the risk </w:t>
      </w:r>
      <w:r w:rsidRPr="00354A3B">
        <w:t>e.g. to</w:t>
      </w:r>
      <w:r>
        <w:t xml:space="preserve"> or with</w:t>
      </w:r>
      <w:r w:rsidRPr="00354A3B">
        <w:t xml:space="preserve"> a supplier</w:t>
      </w:r>
    </w:p>
    <w:p w14:paraId="0DD9CCCF" w14:textId="1087FAB4" w:rsidR="00FD57B2" w:rsidRPr="00354A3B" w:rsidRDefault="00FD57B2" w:rsidP="00FD57B2">
      <w:pPr>
        <w:pStyle w:val="ListParagraph"/>
      </w:pPr>
      <w:r w:rsidRPr="0099328D">
        <w:rPr>
          <w:b/>
          <w:bCs/>
        </w:rPr>
        <w:t>Tolerate</w:t>
      </w:r>
      <w:r w:rsidR="0099328D">
        <w:t xml:space="preserve"> - </w:t>
      </w:r>
      <w:r w:rsidR="00D44D37">
        <w:t>to</w:t>
      </w:r>
      <w:r w:rsidRPr="00354A3B">
        <w:t xml:space="preserve"> accept the residual risk</w:t>
      </w:r>
      <w:r w:rsidR="00D44D37">
        <w:t xml:space="preserve"> (</w:t>
      </w:r>
      <w:r w:rsidR="00D44D37" w:rsidRPr="00D44D37">
        <w:rPr>
          <w:i/>
          <w:iCs/>
        </w:rPr>
        <w:t>see risk acceptance criteria in section six</w:t>
      </w:r>
      <w:r w:rsidR="00D44D37">
        <w:t>)</w:t>
      </w:r>
    </w:p>
    <w:p w14:paraId="1FB673D1" w14:textId="59E2F1B6" w:rsidR="00CA4117" w:rsidRDefault="00FD57B2" w:rsidP="00CA4117">
      <w:pPr>
        <w:pStyle w:val="ListParagraph"/>
      </w:pPr>
      <w:r w:rsidRPr="0099328D">
        <w:rPr>
          <w:b/>
          <w:bCs/>
        </w:rPr>
        <w:t>Combination of actions</w:t>
      </w:r>
      <w:r w:rsidR="0099328D">
        <w:t xml:space="preserve"> - </w:t>
      </w:r>
      <w:r w:rsidRPr="00354A3B">
        <w:t>taking more</w:t>
      </w:r>
      <w:r w:rsidR="00D44D37">
        <w:t xml:space="preserve"> than one of </w:t>
      </w:r>
      <w:r w:rsidRPr="00354A3B">
        <w:t>the</w:t>
      </w:r>
      <w:r w:rsidR="0099328D">
        <w:t xml:space="preserve"> treatment</w:t>
      </w:r>
      <w:r w:rsidRPr="00354A3B">
        <w:t xml:space="preserve"> options abov</w:t>
      </w:r>
      <w:r w:rsidR="0099328D">
        <w:t>e</w:t>
      </w:r>
    </w:p>
    <w:p w14:paraId="266A0034" w14:textId="77777777" w:rsidR="00C75A0D" w:rsidRPr="00C75A0D" w:rsidRDefault="00C75A0D" w:rsidP="00C75A0D">
      <w:pPr>
        <w:rPr>
          <w:b/>
          <w:bCs/>
          <w:szCs w:val="22"/>
        </w:rPr>
      </w:pPr>
      <w:r w:rsidRPr="00C75A0D">
        <w:rPr>
          <w:b/>
          <w:bCs/>
          <w:szCs w:val="22"/>
        </w:rPr>
        <w:t>Closed Risks</w:t>
      </w:r>
    </w:p>
    <w:p w14:paraId="4B968AE1" w14:textId="77777777" w:rsidR="00C75A0D" w:rsidRPr="00C75A0D" w:rsidRDefault="00C75A0D" w:rsidP="00C75A0D">
      <w:pPr>
        <w:rPr>
          <w:szCs w:val="22"/>
        </w:rPr>
      </w:pPr>
      <w:r w:rsidRPr="00C75A0D">
        <w:rPr>
          <w:szCs w:val="22"/>
        </w:rPr>
        <w:t>Risks are only closed once they are deemed Terminated (See Above) or are no longer a threat to your organisation.</w:t>
      </w:r>
    </w:p>
    <w:p w14:paraId="695AB838" w14:textId="77777777" w:rsidR="00C75A0D" w:rsidRPr="00C75A0D" w:rsidRDefault="00C75A0D" w:rsidP="00C75A0D">
      <w:pPr>
        <w:rPr>
          <w:szCs w:val="22"/>
        </w:rPr>
      </w:pPr>
      <w:r w:rsidRPr="00C75A0D">
        <w:rPr>
          <w:szCs w:val="22"/>
        </w:rPr>
        <w:lastRenderedPageBreak/>
        <w:t>Examples of when risks may be closed:</w:t>
      </w:r>
    </w:p>
    <w:p w14:paraId="1919754D" w14:textId="04E86EDC" w:rsidR="00C75A0D" w:rsidRPr="00C75A0D" w:rsidRDefault="00C75A0D" w:rsidP="00C75A0D">
      <w:pPr>
        <w:pStyle w:val="ListParagraph"/>
        <w:numPr>
          <w:ilvl w:val="0"/>
          <w:numId w:val="50"/>
        </w:numPr>
        <w:spacing w:before="0" w:after="160" w:afterAutospacing="0" w:line="259" w:lineRule="auto"/>
        <w:contextualSpacing/>
        <w:rPr>
          <w:szCs w:val="22"/>
        </w:rPr>
      </w:pPr>
      <w:r w:rsidRPr="00C75A0D">
        <w:rPr>
          <w:szCs w:val="22"/>
        </w:rPr>
        <w:t>If we were to change a key software provider for our business processes, the risks associated with the old software would not be present. However, it would still be documented that the risks were addressed whilst they were present and open.</w:t>
      </w:r>
    </w:p>
    <w:p w14:paraId="63F1A01F" w14:textId="77777777" w:rsidR="00C75A0D" w:rsidRPr="00C75A0D" w:rsidRDefault="00C75A0D" w:rsidP="00C75A0D">
      <w:pPr>
        <w:pStyle w:val="ListParagraph"/>
        <w:numPr>
          <w:ilvl w:val="0"/>
          <w:numId w:val="0"/>
        </w:numPr>
        <w:spacing w:before="0" w:after="160" w:afterAutospacing="0" w:line="259" w:lineRule="auto"/>
        <w:ind w:left="720"/>
        <w:contextualSpacing/>
        <w:rPr>
          <w:szCs w:val="22"/>
        </w:rPr>
      </w:pPr>
    </w:p>
    <w:p w14:paraId="00B5CA11" w14:textId="77777777" w:rsidR="00C75A0D" w:rsidRPr="00C75A0D" w:rsidRDefault="00C75A0D" w:rsidP="00C75A0D">
      <w:pPr>
        <w:pStyle w:val="ListParagraph"/>
        <w:numPr>
          <w:ilvl w:val="0"/>
          <w:numId w:val="50"/>
        </w:numPr>
        <w:spacing w:before="0" w:after="160" w:afterAutospacing="0" w:line="259" w:lineRule="auto"/>
        <w:contextualSpacing/>
        <w:rPr>
          <w:szCs w:val="22"/>
        </w:rPr>
      </w:pPr>
      <w:r w:rsidRPr="00C75A0D">
        <w:rPr>
          <w:szCs w:val="22"/>
        </w:rPr>
        <w:t xml:space="preserve">Risks linked to older legislations which are no longer applicable would also be deemed as closed. </w:t>
      </w:r>
    </w:p>
    <w:p w14:paraId="725FA935" w14:textId="643D6FE4" w:rsidR="003C1135" w:rsidRPr="00C75A0D" w:rsidRDefault="00C75A0D" w:rsidP="00C75A0D">
      <w:pPr>
        <w:ind w:left="360"/>
        <w:rPr>
          <w:b/>
          <w:bCs/>
          <w:szCs w:val="22"/>
        </w:rPr>
      </w:pPr>
      <w:r w:rsidRPr="00C75A0D">
        <w:rPr>
          <w:b/>
          <w:bCs/>
          <w:szCs w:val="22"/>
        </w:rPr>
        <w:t>NOTE: If an Annex A control is mitigating a risk, it is likely this risk will still be open, as there is still a chance the risk can occur.</w:t>
      </w:r>
      <w:r w:rsidR="003C1135" w:rsidRPr="00C75A0D">
        <w:rPr>
          <w:b/>
          <w:bCs/>
          <w:szCs w:val="22"/>
        </w:rPr>
        <w:t xml:space="preserve"> </w:t>
      </w:r>
    </w:p>
    <w:p w14:paraId="7F18D02C" w14:textId="77777777" w:rsidR="00CA4117" w:rsidRPr="00CA4117" w:rsidRDefault="00CA4117" w:rsidP="00CA4117">
      <w:pPr>
        <w:ind w:left="720" w:hanging="360"/>
        <w:rPr>
          <w:b/>
          <w:bCs/>
          <w:i/>
          <w:iCs/>
          <w:sz w:val="20"/>
          <w:szCs w:val="20"/>
        </w:rPr>
      </w:pPr>
      <w:r w:rsidRPr="00CA4117">
        <w:rPr>
          <w:b/>
          <w:bCs/>
          <w:i/>
          <w:iCs/>
          <w:noProof/>
          <w:sz w:val="20"/>
          <w:szCs w:val="20"/>
        </w:rPr>
        <mc:AlternateContent>
          <mc:Choice Requires="wps">
            <w:drawing>
              <wp:anchor distT="0" distB="0" distL="114300" distR="114300" simplePos="0" relativeHeight="251674624" behindDoc="0" locked="0" layoutInCell="1" allowOverlap="1" wp14:anchorId="75F71FCB" wp14:editId="248B99AC">
                <wp:simplePos x="0" y="0"/>
                <wp:positionH relativeFrom="column">
                  <wp:posOffset>39694</wp:posOffset>
                </wp:positionH>
                <wp:positionV relativeFrom="paragraph">
                  <wp:posOffset>34289</wp:posOffset>
                </wp:positionV>
                <wp:extent cx="0" cy="807043"/>
                <wp:effectExtent l="0" t="0" r="12700" b="6350"/>
                <wp:wrapNone/>
                <wp:docPr id="1" name="Straight Connector 1"/>
                <wp:cNvGraphicFramePr/>
                <a:graphic xmlns:a="http://schemas.openxmlformats.org/drawingml/2006/main">
                  <a:graphicData uri="http://schemas.microsoft.com/office/word/2010/wordprocessingShape">
                    <wps:wsp>
                      <wps:cNvCnPr/>
                      <wps:spPr>
                        <a:xfrm>
                          <a:off x="0" y="0"/>
                          <a:ext cx="0" cy="807043"/>
                        </a:xfrm>
                        <a:prstGeom prst="line">
                          <a:avLst/>
                        </a:prstGeom>
                        <a:ln w="12700">
                          <a:solidFill>
                            <a:srgbClr val="494854"/>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F4AF"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7pt" to="3.1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" strokecolor="#494854" strokeweight="1pt"/>
            </w:pict>
          </mc:Fallback>
        </mc:AlternateContent>
      </w:r>
      <w:r w:rsidRPr="00CA4117">
        <w:rPr>
          <w:b/>
          <w:bCs/>
          <w:i/>
          <w:iCs/>
          <w:sz w:val="20"/>
          <w:szCs w:val="20"/>
        </w:rPr>
        <w:t>Tips</w:t>
      </w:r>
    </w:p>
    <w:p w14:paraId="40C2C7A8" w14:textId="6396A826" w:rsidR="00F95D5C" w:rsidRPr="00CA4117" w:rsidRDefault="00E11335" w:rsidP="00CA4117">
      <w:pPr>
        <w:ind w:left="360"/>
        <w:rPr>
          <w:i/>
          <w:iCs/>
          <w:sz w:val="20"/>
          <w:szCs w:val="20"/>
        </w:rPr>
      </w:pPr>
      <w:r w:rsidRPr="00CA4117">
        <w:rPr>
          <w:i/>
          <w:iCs/>
          <w:sz w:val="20"/>
          <w:szCs w:val="20"/>
        </w:rPr>
        <w:t>Treatments</w:t>
      </w:r>
      <w:r w:rsidR="00363C8C" w:rsidRPr="00CA4117">
        <w:rPr>
          <w:i/>
          <w:iCs/>
          <w:sz w:val="20"/>
          <w:szCs w:val="20"/>
        </w:rPr>
        <w:t xml:space="preserve"> </w:t>
      </w:r>
      <w:r w:rsidRPr="00CA4117">
        <w:rPr>
          <w:i/>
          <w:iCs/>
          <w:sz w:val="20"/>
          <w:szCs w:val="20"/>
        </w:rPr>
        <w:t xml:space="preserve">are </w:t>
      </w:r>
      <w:r w:rsidR="00363C8C" w:rsidRPr="00CA4117">
        <w:rPr>
          <w:i/>
          <w:iCs/>
          <w:sz w:val="20"/>
          <w:szCs w:val="20"/>
        </w:rPr>
        <w:t>documented as required in terms of free text notes, tasks, discussions or documents, including where appropriate</w:t>
      </w:r>
      <w:r w:rsidR="00CA4117">
        <w:rPr>
          <w:i/>
          <w:iCs/>
          <w:sz w:val="20"/>
          <w:szCs w:val="20"/>
        </w:rPr>
        <w:t xml:space="preserve"> </w:t>
      </w:r>
      <w:r w:rsidR="00363C8C" w:rsidRPr="00CA4117">
        <w:rPr>
          <w:i/>
          <w:iCs/>
          <w:sz w:val="20"/>
          <w:szCs w:val="20"/>
        </w:rPr>
        <w:t>link</w:t>
      </w:r>
      <w:r w:rsidR="00D44D37" w:rsidRPr="00CA4117">
        <w:rPr>
          <w:i/>
          <w:iCs/>
          <w:sz w:val="20"/>
          <w:szCs w:val="20"/>
        </w:rPr>
        <w:t>ed work</w:t>
      </w:r>
      <w:r w:rsidR="00363C8C" w:rsidRPr="00CA4117">
        <w:rPr>
          <w:i/>
          <w:iCs/>
          <w:sz w:val="20"/>
          <w:szCs w:val="20"/>
        </w:rPr>
        <w:t xml:space="preserve"> to relevant policies </w:t>
      </w:r>
      <w:r w:rsidR="00D44D37" w:rsidRPr="00CA4117">
        <w:rPr>
          <w:i/>
          <w:iCs/>
          <w:sz w:val="20"/>
          <w:szCs w:val="20"/>
        </w:rPr>
        <w:t>or</w:t>
      </w:r>
      <w:r w:rsidR="00363C8C" w:rsidRPr="00CA4117">
        <w:rPr>
          <w:i/>
          <w:iCs/>
          <w:sz w:val="20"/>
          <w:szCs w:val="20"/>
        </w:rPr>
        <w:t xml:space="preserve"> controls</w:t>
      </w:r>
      <w:r w:rsidR="00CF02F1" w:rsidRPr="00CA4117">
        <w:rPr>
          <w:i/>
          <w:iCs/>
          <w:sz w:val="20"/>
          <w:szCs w:val="20"/>
        </w:rPr>
        <w:t xml:space="preserve"> </w:t>
      </w:r>
      <w:r w:rsidR="00CA4117">
        <w:rPr>
          <w:i/>
          <w:iCs/>
          <w:sz w:val="20"/>
          <w:szCs w:val="20"/>
        </w:rPr>
        <w:t xml:space="preserve">in the </w:t>
      </w:r>
      <w:r w:rsidR="00CF02F1" w:rsidRPr="00CA4117">
        <w:rPr>
          <w:i/>
          <w:iCs/>
          <w:sz w:val="20"/>
          <w:szCs w:val="20"/>
        </w:rPr>
        <w:t xml:space="preserve">wider </w:t>
      </w:r>
      <w:r w:rsidR="00D44D37" w:rsidRPr="00CA4117">
        <w:rPr>
          <w:i/>
          <w:iCs/>
          <w:sz w:val="20"/>
          <w:szCs w:val="20"/>
        </w:rPr>
        <w:t>ISMS</w:t>
      </w:r>
      <w:r w:rsidR="00363C8C" w:rsidRPr="00CA4117">
        <w:rPr>
          <w:i/>
          <w:iCs/>
          <w:sz w:val="20"/>
          <w:szCs w:val="20"/>
        </w:rPr>
        <w:t xml:space="preserve">. </w:t>
      </w:r>
    </w:p>
    <w:p w14:paraId="40E78D52" w14:textId="63AF9D81" w:rsidR="00FA6AD2" w:rsidRDefault="001B7483" w:rsidP="00127D3E">
      <w:r>
        <w:t>If</w:t>
      </w:r>
      <w:r w:rsidR="0084678F" w:rsidRPr="0084678F">
        <w:t xml:space="preserve"> there are conflicts in the </w:t>
      </w:r>
      <w:r w:rsidR="00D44D37">
        <w:t xml:space="preserve">assessment, </w:t>
      </w:r>
      <w:r w:rsidR="00FA6AD2">
        <w:t xml:space="preserve">treatment </w:t>
      </w:r>
      <w:r w:rsidR="00D44D37">
        <w:t xml:space="preserve">or managing </w:t>
      </w:r>
      <w:r w:rsidR="0084678F" w:rsidRPr="0084678F">
        <w:t>of risks</w:t>
      </w:r>
      <w:r w:rsidR="00FA6AD2">
        <w:t>,</w:t>
      </w:r>
      <w:r w:rsidR="0084678F" w:rsidRPr="0084678F">
        <w:t xml:space="preserve"> the foll</w:t>
      </w:r>
      <w:r w:rsidR="00FA6AD2">
        <w:t>owing</w:t>
      </w:r>
      <w:r w:rsidR="00D44D37">
        <w:t xml:space="preserve"> priority order will be used (with </w:t>
      </w:r>
      <w:proofErr w:type="spellStart"/>
      <w:r w:rsidR="00D44D37">
        <w:t>i</w:t>
      </w:r>
      <w:proofErr w:type="spellEnd"/>
      <w:r w:rsidR="00D44D37">
        <w:t xml:space="preserve">. </w:t>
      </w:r>
      <w:r w:rsidR="00FA6AD2">
        <w:t>t</w:t>
      </w:r>
      <w:r w:rsidR="00D44D37">
        <w:t>he highest priority)</w:t>
      </w:r>
    </w:p>
    <w:p w14:paraId="53614268" w14:textId="30A79EBD" w:rsidR="00FA6AD2" w:rsidRPr="00FA6AD2" w:rsidRDefault="00FA6AD2" w:rsidP="00D44D37">
      <w:pPr>
        <w:pStyle w:val="ListParagraph"/>
        <w:numPr>
          <w:ilvl w:val="0"/>
          <w:numId w:val="49"/>
        </w:numPr>
      </w:pPr>
      <w:r>
        <w:t>C</w:t>
      </w:r>
      <w:r w:rsidR="0084678F" w:rsidRPr="00FA6AD2">
        <w:t xml:space="preserve">ustomer </w:t>
      </w:r>
      <w:r>
        <w:t xml:space="preserve">and user </w:t>
      </w:r>
      <w:r w:rsidR="0084678F" w:rsidRPr="00FA6AD2">
        <w:t xml:space="preserve">confidence in the </w:t>
      </w:r>
      <w:r w:rsidR="00294B96">
        <w:rPr>
          <w:u w:val="single"/>
        </w:rPr>
        <w:t>C</w:t>
      </w:r>
      <w:r w:rsidR="0084678F" w:rsidRPr="00F73D86">
        <w:rPr>
          <w:u w:val="single"/>
        </w:rPr>
        <w:t>onfidentiality</w:t>
      </w:r>
      <w:r w:rsidR="0084678F" w:rsidRPr="00FA6AD2">
        <w:t xml:space="preserve"> of their data </w:t>
      </w:r>
    </w:p>
    <w:p w14:paraId="07BA70BD" w14:textId="0802C911" w:rsidR="00FA6AD2" w:rsidRDefault="00FA6AD2" w:rsidP="00D44D37">
      <w:pPr>
        <w:pStyle w:val="ListParagraph"/>
        <w:numPr>
          <w:ilvl w:val="0"/>
          <w:numId w:val="49"/>
        </w:numPr>
      </w:pPr>
      <w:r>
        <w:t xml:space="preserve">The </w:t>
      </w:r>
      <w:r w:rsidR="00294B96">
        <w:rPr>
          <w:u w:val="single"/>
        </w:rPr>
        <w:t>I</w:t>
      </w:r>
      <w:r w:rsidRPr="00F73D86">
        <w:rPr>
          <w:u w:val="single"/>
        </w:rPr>
        <w:t>ntegrity</w:t>
      </w:r>
      <w:r>
        <w:t xml:space="preserve"> of the information</w:t>
      </w:r>
      <w:r w:rsidR="0084678F" w:rsidRPr="00FA6AD2">
        <w:t xml:space="preserve"> </w:t>
      </w:r>
    </w:p>
    <w:p w14:paraId="50CE3861" w14:textId="292514F9" w:rsidR="00F73D86" w:rsidRDefault="00D44D37" w:rsidP="00D44D37">
      <w:pPr>
        <w:pStyle w:val="ListParagraph"/>
        <w:numPr>
          <w:ilvl w:val="0"/>
          <w:numId w:val="49"/>
        </w:numPr>
      </w:pPr>
      <w:r>
        <w:t xml:space="preserve">The </w:t>
      </w:r>
      <w:r w:rsidR="00294B96">
        <w:rPr>
          <w:u w:val="single"/>
        </w:rPr>
        <w:t>A</w:t>
      </w:r>
      <w:r w:rsidR="0084678F" w:rsidRPr="00F73D86">
        <w:rPr>
          <w:u w:val="single"/>
        </w:rPr>
        <w:t>vailability</w:t>
      </w:r>
      <w:r w:rsidR="0084678F" w:rsidRPr="00FA6AD2">
        <w:t xml:space="preserve"> </w:t>
      </w:r>
      <w:r>
        <w:t xml:space="preserve">of the information </w:t>
      </w:r>
      <w:r w:rsidR="0084678F" w:rsidRPr="00FA6AD2">
        <w:t xml:space="preserve">(e.g.: if we found something that made information available but </w:t>
      </w:r>
      <w:r w:rsidR="00FD57B2">
        <w:t>where its confidentiality or integrity were at unacceptable risk then</w:t>
      </w:r>
      <w:r w:rsidR="0084678F" w:rsidRPr="00FA6AD2">
        <w:t xml:space="preserve"> we would choose not to mak</w:t>
      </w:r>
      <w:r w:rsidR="00F73D86">
        <w:t>e that information available)</w:t>
      </w:r>
    </w:p>
    <w:p w14:paraId="6D9E0568" w14:textId="261E1A98" w:rsidR="00F73D86" w:rsidRDefault="00F73D86" w:rsidP="00D44D37">
      <w:pPr>
        <w:pStyle w:val="ListParagraph"/>
        <w:numPr>
          <w:ilvl w:val="0"/>
          <w:numId w:val="49"/>
        </w:numPr>
      </w:pPr>
      <w:r>
        <w:t>Any</w:t>
      </w:r>
      <w:r w:rsidR="00FA6AD2">
        <w:t xml:space="preserve"> legal</w:t>
      </w:r>
      <w:r w:rsidR="00FD57B2">
        <w:t>,</w:t>
      </w:r>
      <w:r w:rsidR="00FA6AD2">
        <w:t xml:space="preserve"> regulatory</w:t>
      </w:r>
      <w:r w:rsidR="0084678F" w:rsidRPr="0084678F">
        <w:t xml:space="preserve"> </w:t>
      </w:r>
      <w:r w:rsidR="00FD57B2">
        <w:t xml:space="preserve">or contractual </w:t>
      </w:r>
      <w:r w:rsidR="0084678F" w:rsidRPr="0084678F">
        <w:t xml:space="preserve">requirement </w:t>
      </w:r>
      <w:r w:rsidR="00FA6AD2">
        <w:t xml:space="preserve">identified from a risk perspective </w:t>
      </w:r>
      <w:r w:rsidR="0084678F" w:rsidRPr="0084678F">
        <w:t xml:space="preserve">would trump any desire for </w:t>
      </w:r>
      <w:r>
        <w:t xml:space="preserve">internal </w:t>
      </w:r>
      <w:r w:rsidR="0084678F" w:rsidRPr="0084678F">
        <w:t xml:space="preserve">business improvement </w:t>
      </w:r>
      <w:r>
        <w:t>or further growth</w:t>
      </w:r>
    </w:p>
    <w:p w14:paraId="5BD21184" w14:textId="376824D5" w:rsidR="00B656B3" w:rsidRDefault="0084678F" w:rsidP="00D44D37">
      <w:pPr>
        <w:pStyle w:val="ListParagraph"/>
        <w:numPr>
          <w:ilvl w:val="0"/>
          <w:numId w:val="49"/>
        </w:numPr>
      </w:pPr>
      <w:r w:rsidRPr="0084678F">
        <w:t xml:space="preserve">Where one or more </w:t>
      </w:r>
      <w:r w:rsidR="00D44D37">
        <w:t>part</w:t>
      </w:r>
      <w:r w:rsidR="00A5011A">
        <w:t>ies</w:t>
      </w:r>
      <w:r w:rsidRPr="0084678F">
        <w:t xml:space="preserve"> </w:t>
      </w:r>
      <w:r w:rsidR="00A5011A">
        <w:t>are</w:t>
      </w:r>
      <w:r w:rsidR="00FA6AD2">
        <w:t xml:space="preserve"> </w:t>
      </w:r>
      <w:r w:rsidRPr="0084678F">
        <w:t xml:space="preserve">specifically impacted </w:t>
      </w:r>
      <w:r w:rsidR="00FA6AD2">
        <w:t xml:space="preserve">by a potential conflict in risk </w:t>
      </w:r>
      <w:r w:rsidR="00083214">
        <w:t>management,</w:t>
      </w:r>
      <w:r w:rsidR="00FA6AD2">
        <w:t xml:space="preserve"> </w:t>
      </w:r>
      <w:r w:rsidRPr="0084678F">
        <w:t xml:space="preserve">we </w:t>
      </w:r>
      <w:r w:rsidR="00FA6AD2">
        <w:t>may</w:t>
      </w:r>
      <w:r w:rsidRPr="0084678F">
        <w:t xml:space="preserve"> </w:t>
      </w:r>
      <w:r w:rsidR="00F73D86">
        <w:t xml:space="preserve">choose to </w:t>
      </w:r>
      <w:r w:rsidRPr="0084678F">
        <w:t xml:space="preserve">take that to the </w:t>
      </w:r>
      <w:r w:rsidR="00D44D37">
        <w:t xml:space="preserve">relevant party </w:t>
      </w:r>
      <w:r w:rsidRPr="0084678F">
        <w:t xml:space="preserve">and </w:t>
      </w:r>
      <w:r w:rsidR="00FA6AD2">
        <w:t>consider</w:t>
      </w:r>
      <w:r w:rsidRPr="0084678F">
        <w:t xml:space="preserve"> appropriate course</w:t>
      </w:r>
      <w:r w:rsidR="00FA6AD2">
        <w:t>s</w:t>
      </w:r>
      <w:r w:rsidRPr="0084678F">
        <w:t xml:space="preserve"> of action</w:t>
      </w:r>
      <w:r w:rsidR="00FA6AD2">
        <w:t xml:space="preserve"> with them</w:t>
      </w:r>
      <w:r w:rsidRPr="0084678F">
        <w:t xml:space="preserve">. </w:t>
      </w:r>
      <w:r w:rsidR="00D44D37">
        <w:br/>
      </w:r>
      <w:r w:rsidR="00D44D37">
        <w:br/>
      </w:r>
      <w:r w:rsidRPr="0084678F">
        <w:t xml:space="preserve">As part of that </w:t>
      </w:r>
      <w:r w:rsidR="00FA6AD2">
        <w:t xml:space="preserve">process, </w:t>
      </w:r>
      <w:r w:rsidRPr="0084678F">
        <w:t xml:space="preserve">risk treatment may involve them accepting </w:t>
      </w:r>
      <w:r w:rsidR="00FA6AD2">
        <w:t xml:space="preserve">that risk </w:t>
      </w:r>
      <w:r w:rsidRPr="0084678F">
        <w:t xml:space="preserve">or </w:t>
      </w:r>
      <w:r w:rsidR="00FA6AD2">
        <w:t>helping us treat</w:t>
      </w:r>
      <w:r w:rsidRPr="0084678F">
        <w:t xml:space="preserve"> that risk</w:t>
      </w:r>
      <w:r w:rsidR="00FA6AD2">
        <w:t xml:space="preserve"> e.g. by transferring it, sharing it or </w:t>
      </w:r>
      <w:r w:rsidR="001C7715">
        <w:t>co-operating on</w:t>
      </w:r>
      <w:r w:rsidR="00FA6AD2">
        <w:t xml:space="preserve"> the removal of it</w:t>
      </w:r>
    </w:p>
    <w:p w14:paraId="34F2A0A7" w14:textId="6E2C9E2C" w:rsidR="00FD57B2" w:rsidRPr="00EC1164" w:rsidRDefault="00FD57B2" w:rsidP="006269CA">
      <w:pPr>
        <w:pStyle w:val="Heading2"/>
      </w:pPr>
      <w:bookmarkStart w:id="7" w:name="_Toc94210254"/>
      <w:r>
        <w:t xml:space="preserve">Risk </w:t>
      </w:r>
      <w:r w:rsidR="009B0082">
        <w:t>a</w:t>
      </w:r>
      <w:r>
        <w:t xml:space="preserve">cceptance </w:t>
      </w:r>
      <w:r w:rsidR="009B0082">
        <w:t>c</w:t>
      </w:r>
      <w:r>
        <w:t>riteria</w:t>
      </w:r>
      <w:bookmarkEnd w:id="7"/>
    </w:p>
    <w:p w14:paraId="7550A03D" w14:textId="4BE97AA6" w:rsidR="00674E04" w:rsidRDefault="00674E04" w:rsidP="006138EB">
      <w:r>
        <w:t xml:space="preserve">In </w:t>
      </w:r>
      <w:r w:rsidR="00B656B3">
        <w:t>general,</w:t>
      </w:r>
      <w:r>
        <w:t xml:space="preserve"> we are happy to accept risks shown in the green area on the </w:t>
      </w:r>
      <w:r w:rsidR="00E56883">
        <w:t>Risks</w:t>
      </w:r>
      <w:r w:rsidR="00560268">
        <w:t xml:space="preserve"> &amp; Treatments </w:t>
      </w:r>
      <w:r>
        <w:t>map</w:t>
      </w:r>
      <w:r w:rsidR="00560268">
        <w:t>. A</w:t>
      </w:r>
      <w:r>
        <w:t>s the risk position increases into the yellow, red and black areas the less likely we are to accept the risk without further treatment.</w:t>
      </w:r>
    </w:p>
    <w:p w14:paraId="38BD4572" w14:textId="19ABF7DD" w:rsidR="00FD57B2" w:rsidRDefault="006138EB" w:rsidP="006138EB">
      <w:r>
        <w:t>The final risk acceptance criteria are determined by the risk owner</w:t>
      </w:r>
      <w:r w:rsidR="00FD57B2">
        <w:t>, but should take into consideration the following:</w:t>
      </w:r>
    </w:p>
    <w:p w14:paraId="281C84E2" w14:textId="2F8442EE" w:rsidR="00FD57B2" w:rsidRDefault="00FD57B2" w:rsidP="00FD57B2">
      <w:pPr>
        <w:pStyle w:val="ListParagraph"/>
        <w:numPr>
          <w:ilvl w:val="0"/>
          <w:numId w:val="43"/>
        </w:numPr>
      </w:pPr>
      <w:r>
        <w:t>The level of residual risk to be accepted</w:t>
      </w:r>
    </w:p>
    <w:p w14:paraId="000862CE" w14:textId="0E4B6E0E" w:rsidR="00FD57B2" w:rsidRDefault="00FD57B2" w:rsidP="00FD57B2">
      <w:pPr>
        <w:pStyle w:val="ListParagraph"/>
        <w:numPr>
          <w:ilvl w:val="0"/>
          <w:numId w:val="43"/>
        </w:numPr>
      </w:pPr>
      <w:r>
        <w:t>Any legal, regulatory or contractual obligations</w:t>
      </w:r>
    </w:p>
    <w:p w14:paraId="673F8304" w14:textId="78BC13FC" w:rsidR="009E4082" w:rsidRDefault="009E4082" w:rsidP="00FD57B2">
      <w:pPr>
        <w:pStyle w:val="ListParagraph"/>
        <w:numPr>
          <w:ilvl w:val="0"/>
          <w:numId w:val="43"/>
        </w:numPr>
      </w:pPr>
      <w:r>
        <w:lastRenderedPageBreak/>
        <w:t>Business objectives and internal compliance requirements</w:t>
      </w:r>
    </w:p>
    <w:p w14:paraId="7EC9B91E" w14:textId="22261A10" w:rsidR="009E4082" w:rsidRDefault="009E4082" w:rsidP="00FD57B2">
      <w:pPr>
        <w:pStyle w:val="ListParagraph"/>
        <w:numPr>
          <w:ilvl w:val="0"/>
          <w:numId w:val="43"/>
        </w:numPr>
      </w:pPr>
      <w:r>
        <w:t xml:space="preserve">Other conflicting risks that may be introduced or </w:t>
      </w:r>
      <w:r w:rsidR="0025698B">
        <w:t>changed</w:t>
      </w:r>
      <w:r>
        <w:t xml:space="preserve"> from further treating the risk being considered</w:t>
      </w:r>
      <w:r w:rsidR="00083214">
        <w:t xml:space="preserve"> (this may include e.g. risks to resourcing levels and/or financial implications)</w:t>
      </w:r>
    </w:p>
    <w:p w14:paraId="28B20DD2" w14:textId="41ABE883" w:rsidR="00E5212E" w:rsidRDefault="009E4082" w:rsidP="006138EB">
      <w:r>
        <w:t>T</w:t>
      </w:r>
      <w:r w:rsidR="006138EB">
        <w:t>he residual risk being tolerated (</w:t>
      </w:r>
      <w:proofErr w:type="gramStart"/>
      <w:r w:rsidR="006138EB">
        <w:t>i.e.</w:t>
      </w:r>
      <w:proofErr w:type="gramEnd"/>
      <w:r w:rsidR="006138EB">
        <w:t xml:space="preserve"> the risk remaining after acting) is demonstrated from its position on the risk map</w:t>
      </w:r>
      <w:r>
        <w:t xml:space="preserve"> and this </w:t>
      </w:r>
      <w:r w:rsidR="00083214">
        <w:t xml:space="preserve">position </w:t>
      </w:r>
      <w:r>
        <w:t>will also determine how often the risk is to be reviewed (see above).</w:t>
      </w:r>
      <w:r w:rsidR="00C070FB">
        <w:t xml:space="preserve"> </w:t>
      </w:r>
    </w:p>
    <w:p w14:paraId="7B03D1F6" w14:textId="5C9ACB8B" w:rsidR="006F055D" w:rsidRDefault="006F055D" w:rsidP="006138EB"/>
    <w:p w14:paraId="696CC415" w14:textId="77777777" w:rsidR="006F055D" w:rsidRPr="00BF3720" w:rsidRDefault="006F055D" w:rsidP="006F055D">
      <w:pPr>
        <w:pStyle w:val="Heading2"/>
        <w:rPr>
          <w:sz w:val="24"/>
          <w:szCs w:val="24"/>
        </w:rPr>
      </w:pPr>
      <w:bookmarkStart w:id="8" w:name="_Hlk87969933"/>
      <w:bookmarkStart w:id="9" w:name="_Toc94210255"/>
      <w:r w:rsidRPr="00BF3720">
        <w:t>Closed Risks</w:t>
      </w:r>
      <w:bookmarkEnd w:id="9"/>
    </w:p>
    <w:p w14:paraId="0CAB5317" w14:textId="50175F1E" w:rsidR="006F055D" w:rsidRPr="006F055D" w:rsidRDefault="006F055D" w:rsidP="006F055D">
      <w:pPr>
        <w:rPr>
          <w:szCs w:val="22"/>
        </w:rPr>
      </w:pPr>
      <w:r w:rsidRPr="006F055D">
        <w:rPr>
          <w:szCs w:val="22"/>
        </w:rPr>
        <w:t>Risks are closed once they are deemed Terminated (See Above) or are no longer a threat to your organisation.</w:t>
      </w:r>
    </w:p>
    <w:p w14:paraId="239F5DB1" w14:textId="77777777" w:rsidR="006F055D" w:rsidRPr="006F055D" w:rsidRDefault="006F055D" w:rsidP="006F055D">
      <w:pPr>
        <w:rPr>
          <w:szCs w:val="22"/>
        </w:rPr>
      </w:pPr>
      <w:r w:rsidRPr="006F055D">
        <w:rPr>
          <w:szCs w:val="22"/>
        </w:rPr>
        <w:t>Examples of when risks may be closed:</w:t>
      </w:r>
    </w:p>
    <w:p w14:paraId="482E478F" w14:textId="1F7DE2AB" w:rsidR="006F055D" w:rsidRPr="006F055D" w:rsidRDefault="006F055D" w:rsidP="006F055D">
      <w:pPr>
        <w:pStyle w:val="ListParagraph"/>
        <w:numPr>
          <w:ilvl w:val="0"/>
          <w:numId w:val="50"/>
        </w:numPr>
        <w:spacing w:before="0" w:after="160" w:afterAutospacing="0" w:line="259" w:lineRule="auto"/>
        <w:contextualSpacing/>
        <w:rPr>
          <w:szCs w:val="22"/>
        </w:rPr>
      </w:pPr>
      <w:r w:rsidRPr="006F055D">
        <w:rPr>
          <w:szCs w:val="22"/>
        </w:rPr>
        <w:t>A</w:t>
      </w:r>
      <w:r w:rsidRPr="006F055D">
        <w:rPr>
          <w:szCs w:val="22"/>
        </w:rPr>
        <w:t xml:space="preserve"> change </w:t>
      </w:r>
      <w:r w:rsidRPr="006F055D">
        <w:rPr>
          <w:szCs w:val="22"/>
        </w:rPr>
        <w:t xml:space="preserve">to </w:t>
      </w:r>
      <w:r w:rsidRPr="006F055D">
        <w:rPr>
          <w:szCs w:val="22"/>
        </w:rPr>
        <w:t xml:space="preserve">a key supplier </w:t>
      </w:r>
      <w:r w:rsidRPr="006F055D">
        <w:rPr>
          <w:szCs w:val="22"/>
        </w:rPr>
        <w:t>takes place. Any</w:t>
      </w:r>
      <w:r w:rsidRPr="006F055D">
        <w:rPr>
          <w:szCs w:val="22"/>
        </w:rPr>
        <w:t xml:space="preserve"> risks specific to the old supplier would no</w:t>
      </w:r>
      <w:r w:rsidRPr="006F055D">
        <w:rPr>
          <w:szCs w:val="22"/>
        </w:rPr>
        <w:t xml:space="preserve"> longer</w:t>
      </w:r>
      <w:r w:rsidRPr="006F055D">
        <w:rPr>
          <w:szCs w:val="22"/>
        </w:rPr>
        <w:t xml:space="preserve"> be present. </w:t>
      </w:r>
      <w:r w:rsidRPr="006F055D">
        <w:rPr>
          <w:szCs w:val="22"/>
        </w:rPr>
        <w:t>By closing the risk, you can retain the audit trail</w:t>
      </w:r>
      <w:r w:rsidRPr="006F055D">
        <w:rPr>
          <w:szCs w:val="22"/>
        </w:rPr>
        <w:t xml:space="preserve"> </w:t>
      </w:r>
      <w:r w:rsidRPr="006F055D">
        <w:rPr>
          <w:szCs w:val="22"/>
        </w:rPr>
        <w:t xml:space="preserve">of </w:t>
      </w:r>
      <w:r w:rsidRPr="006F055D">
        <w:rPr>
          <w:szCs w:val="22"/>
        </w:rPr>
        <w:t>actions and decisions you took while the risk was open</w:t>
      </w:r>
      <w:r w:rsidRPr="006F055D">
        <w:rPr>
          <w:szCs w:val="22"/>
        </w:rPr>
        <w:t>.</w:t>
      </w:r>
      <w:r w:rsidRPr="006F055D">
        <w:rPr>
          <w:szCs w:val="22"/>
        </w:rPr>
        <w:br/>
      </w:r>
    </w:p>
    <w:p w14:paraId="1E6143E7" w14:textId="77777777" w:rsidR="006F055D" w:rsidRPr="006F055D" w:rsidRDefault="006F055D" w:rsidP="006F055D">
      <w:pPr>
        <w:pStyle w:val="ListParagraph"/>
        <w:numPr>
          <w:ilvl w:val="0"/>
          <w:numId w:val="50"/>
        </w:numPr>
        <w:spacing w:before="0" w:after="160" w:afterAutospacing="0" w:line="259" w:lineRule="auto"/>
        <w:contextualSpacing/>
        <w:rPr>
          <w:szCs w:val="22"/>
        </w:rPr>
      </w:pPr>
      <w:r w:rsidRPr="006F055D">
        <w:rPr>
          <w:szCs w:val="22"/>
        </w:rPr>
        <w:t xml:space="preserve">Risks linked to older legislation, regulation or contractual requirements which are no longer applicable could also be closed if no longer relevant. </w:t>
      </w:r>
    </w:p>
    <w:p w14:paraId="1DC9059E" w14:textId="0A0935CA" w:rsidR="006F055D" w:rsidRPr="006F055D" w:rsidRDefault="006F055D" w:rsidP="006F055D">
      <w:pPr>
        <w:spacing w:before="0" w:after="160" w:afterAutospacing="0" w:line="259" w:lineRule="auto"/>
        <w:contextualSpacing/>
        <w:rPr>
          <w:szCs w:val="22"/>
        </w:rPr>
      </w:pPr>
      <w:r w:rsidRPr="006F055D">
        <w:rPr>
          <w:b/>
          <w:bCs/>
          <w:szCs w:val="22"/>
        </w:rPr>
        <w:t>NOTE</w:t>
      </w:r>
      <w:r w:rsidRPr="006F055D">
        <w:rPr>
          <w:szCs w:val="22"/>
        </w:rPr>
        <w:t>: If you are using a control to mitigat</w:t>
      </w:r>
      <w:r w:rsidRPr="006F055D">
        <w:rPr>
          <w:szCs w:val="22"/>
        </w:rPr>
        <w:t>e</w:t>
      </w:r>
      <w:r w:rsidRPr="006F055D">
        <w:rPr>
          <w:szCs w:val="22"/>
        </w:rPr>
        <w:t xml:space="preserve"> a risk, </w:t>
      </w:r>
      <w:r w:rsidRPr="006F055D">
        <w:rPr>
          <w:szCs w:val="22"/>
        </w:rPr>
        <w:t>then generally the risk should remain open as a residual risk, rather than closed. A</w:t>
      </w:r>
      <w:r w:rsidRPr="006F055D">
        <w:rPr>
          <w:szCs w:val="22"/>
        </w:rPr>
        <w:t xml:space="preserve">s there is still a chance (however diminished) that the risk can occur. </w:t>
      </w:r>
    </w:p>
    <w:bookmarkEnd w:id="8"/>
    <w:p w14:paraId="0851F8A1" w14:textId="77777777" w:rsidR="00560268" w:rsidRDefault="00560268" w:rsidP="006138EB"/>
    <w:p w14:paraId="70E9C68C" w14:textId="2139ED92" w:rsidR="005F0838" w:rsidRDefault="00D14A81" w:rsidP="006269CA">
      <w:pPr>
        <w:pStyle w:val="Heading2"/>
      </w:pPr>
      <w:bookmarkStart w:id="10" w:name="_Toc94210256"/>
      <w:r>
        <w:t>Opportunities</w:t>
      </w:r>
      <w:bookmarkEnd w:id="10"/>
    </w:p>
    <w:p w14:paraId="498EEAEC" w14:textId="112D3476" w:rsidR="00F77EB0" w:rsidRDefault="00F77EB0" w:rsidP="00F77EB0">
      <w:r>
        <w:t xml:space="preserve">The standard requires the identification of “risks” and “opportunities”. The </w:t>
      </w:r>
      <w:r w:rsidR="00E56883">
        <w:t>Risks</w:t>
      </w:r>
      <w:r>
        <w:t xml:space="preserve"> &amp; Treatments tool within the ISMS.online platform can be used to record and asses</w:t>
      </w:r>
      <w:r w:rsidR="00CA4117">
        <w:t>s</w:t>
      </w:r>
      <w:r>
        <w:t xml:space="preserve"> both.</w:t>
      </w:r>
    </w:p>
    <w:p w14:paraId="355E8407" w14:textId="11FF9963" w:rsidR="00D14A81" w:rsidRDefault="00D14A81" w:rsidP="00560268">
      <w:r>
        <w:t xml:space="preserve">The descriptions in the impact and likelihood tables </w:t>
      </w:r>
      <w:r w:rsidR="00560268">
        <w:t xml:space="preserve">in section 4 </w:t>
      </w:r>
      <w:r>
        <w:t xml:space="preserve">are used when conducting </w:t>
      </w:r>
      <w:r w:rsidR="00560268">
        <w:t xml:space="preserve">are </w:t>
      </w:r>
      <w:r>
        <w:t>written from the perspective of threat-based risks</w:t>
      </w:r>
      <w:r w:rsidR="00560268">
        <w:t>.</w:t>
      </w:r>
      <w:r>
        <w:t xml:space="preserve"> Opportunity risks, when considered, are simply to be viewed through the mirror of the threat-based descriptions below e.g. where it says damage/consequence it may be a benefit instead.</w:t>
      </w:r>
    </w:p>
    <w:p w14:paraId="2AD8C90F" w14:textId="77777777" w:rsidR="00D14A81" w:rsidRDefault="00D14A81" w:rsidP="00560268"/>
    <w:p w14:paraId="4F83A948" w14:textId="418E7A88" w:rsidR="004578E2" w:rsidRPr="00C73404" w:rsidRDefault="00560268" w:rsidP="006269CA">
      <w:pPr>
        <w:pStyle w:val="Heading2"/>
      </w:pPr>
      <w:bookmarkStart w:id="11" w:name="_Toc94210257"/>
      <w:r>
        <w:t>A</w:t>
      </w:r>
      <w:r w:rsidR="0025274D" w:rsidRPr="00C73404">
        <w:t xml:space="preserve">pplicable legislation &amp; </w:t>
      </w:r>
      <w:r w:rsidR="009E4082" w:rsidRPr="00C73404">
        <w:t>regulation</w:t>
      </w:r>
      <w:r w:rsidR="0025274D" w:rsidRPr="00C73404">
        <w:t xml:space="preserve"> risk </w:t>
      </w:r>
      <w:r>
        <w:t>assessment</w:t>
      </w:r>
      <w:bookmarkEnd w:id="11"/>
    </w:p>
    <w:p w14:paraId="10AE0E69" w14:textId="051E2AF5" w:rsidR="009E4082" w:rsidRPr="009E4082" w:rsidRDefault="009E4082" w:rsidP="009E4082">
      <w:r>
        <w:lastRenderedPageBreak/>
        <w:t>ISO 27001 does not require the assessment of risks relating to each individual piece of legislation, regulation or contractual requirement</w:t>
      </w:r>
      <w:r w:rsidR="00560268">
        <w:t xml:space="preserve">s. That said </w:t>
      </w:r>
      <w:r>
        <w:t xml:space="preserve">the use of the ISMS.online </w:t>
      </w:r>
      <w:r w:rsidR="00560268">
        <w:t xml:space="preserve">Applicable Legislation </w:t>
      </w:r>
      <w:r>
        <w:t>tool to record these enables this additional assessment</w:t>
      </w:r>
      <w:r w:rsidR="00560268">
        <w:t xml:space="preserve"> to take place as follows</w:t>
      </w:r>
      <w:r>
        <w:t xml:space="preserve">. </w:t>
      </w:r>
    </w:p>
    <w:p w14:paraId="2D81D76C" w14:textId="751AEF82" w:rsidR="0025274D" w:rsidRPr="001319B7" w:rsidRDefault="0025274D" w:rsidP="00354A3B">
      <w:pPr>
        <w:pStyle w:val="ListParagraph"/>
        <w:numPr>
          <w:ilvl w:val="0"/>
          <w:numId w:val="21"/>
        </w:numPr>
      </w:pPr>
      <w:r w:rsidRPr="001319B7">
        <w:t xml:space="preserve">Identify applicable legislation and regulation affecting </w:t>
      </w:r>
      <w:r w:rsidR="001C7715">
        <w:t>the organisation</w:t>
      </w:r>
    </w:p>
    <w:p w14:paraId="6932201A" w14:textId="016F46AB" w:rsidR="0025274D" w:rsidRPr="001319B7" w:rsidRDefault="000D47BB" w:rsidP="00354A3B">
      <w:pPr>
        <w:pStyle w:val="ListParagraph"/>
        <w:numPr>
          <w:ilvl w:val="0"/>
          <w:numId w:val="21"/>
        </w:numPr>
      </w:pPr>
      <w:r w:rsidRPr="001319B7">
        <w:t xml:space="preserve">Add </w:t>
      </w:r>
      <w:r w:rsidR="004869E3" w:rsidRPr="001319B7">
        <w:t>the applicable</w:t>
      </w:r>
      <w:r w:rsidRPr="001319B7">
        <w:t xml:space="preserve"> legislation and regulation into the</w:t>
      </w:r>
      <w:r w:rsidR="00841686">
        <w:t xml:space="preserve"> </w:t>
      </w:r>
      <w:r w:rsidR="001319B7">
        <w:t>Applicable Legislation</w:t>
      </w:r>
      <w:r w:rsidR="00560268">
        <w:t xml:space="preserve"> tool within ISMS.online</w:t>
      </w:r>
    </w:p>
    <w:p w14:paraId="4306656E" w14:textId="256337CD" w:rsidR="004869E3" w:rsidRPr="001319B7" w:rsidRDefault="004869E3" w:rsidP="00354A3B">
      <w:pPr>
        <w:pStyle w:val="ListParagraph"/>
        <w:numPr>
          <w:ilvl w:val="0"/>
          <w:numId w:val="21"/>
        </w:numPr>
      </w:pPr>
      <w:r w:rsidRPr="001319B7">
        <w:t xml:space="preserve">Describe its applicability and relevance </w:t>
      </w:r>
      <w:r w:rsidR="00560268">
        <w:t xml:space="preserve">to your organisation </w:t>
      </w:r>
      <w:r w:rsidRPr="001319B7">
        <w:t>(keeping it simple)</w:t>
      </w:r>
    </w:p>
    <w:p w14:paraId="6592FD4E" w14:textId="0F7D2CFF" w:rsidR="00294B96" w:rsidRDefault="00294B96" w:rsidP="00294B96">
      <w:pPr>
        <w:pStyle w:val="ListParagraph"/>
        <w:numPr>
          <w:ilvl w:val="0"/>
          <w:numId w:val="21"/>
        </w:numPr>
      </w:pPr>
      <w:r w:rsidRPr="001319B7">
        <w:t xml:space="preserve">Conduct a </w:t>
      </w:r>
      <w:r>
        <w:t>likelihood</w:t>
      </w:r>
      <w:r w:rsidRPr="001319B7">
        <w:t xml:space="preserve"> and impact analysis on the risk for </w:t>
      </w:r>
      <w:r>
        <w:t>the organisation</w:t>
      </w:r>
      <w:r w:rsidR="00560268">
        <w:t xml:space="preserve"> considering the following;</w:t>
      </w:r>
    </w:p>
    <w:p w14:paraId="530C7FC3" w14:textId="7F5664FC" w:rsidR="00294B96" w:rsidRPr="009E4082" w:rsidRDefault="00294B96" w:rsidP="00294B96">
      <w:pPr>
        <w:pStyle w:val="ListParagraph"/>
        <w:numPr>
          <w:ilvl w:val="1"/>
          <w:numId w:val="21"/>
        </w:numPr>
      </w:pPr>
      <w:r w:rsidRPr="009E4082">
        <w:t xml:space="preserve">Likelihood is the likelihood of </w:t>
      </w:r>
      <w:r w:rsidR="009E4082">
        <w:t xml:space="preserve">a breach affecting compliance with </w:t>
      </w:r>
      <w:r w:rsidRPr="009E4082">
        <w:t>the legislation</w:t>
      </w:r>
      <w:r w:rsidR="009E4082">
        <w:t>, regulation or contractual compliance including how likely it is that the legislation will change</w:t>
      </w:r>
    </w:p>
    <w:p w14:paraId="218E414C" w14:textId="42A6429D" w:rsidR="00294B96" w:rsidRDefault="00294B96" w:rsidP="00294B96">
      <w:pPr>
        <w:pStyle w:val="ListParagraph"/>
        <w:numPr>
          <w:ilvl w:val="1"/>
          <w:numId w:val="21"/>
        </w:numPr>
      </w:pPr>
      <w:r w:rsidRPr="009E4082">
        <w:t>Impact is the impact of a b</w:t>
      </w:r>
      <w:r w:rsidR="00CA4117">
        <w:t>r</w:t>
      </w:r>
      <w:r w:rsidRPr="009E4082">
        <w:t>each of the legislation and the effects of that legislation coming down on you (or your interested parties because of your behaviour) such that your business has negative consequences</w:t>
      </w:r>
    </w:p>
    <w:p w14:paraId="26D62C85" w14:textId="6A608AC3" w:rsidR="00560268" w:rsidRPr="009E4082" w:rsidRDefault="00560268" w:rsidP="00294B96">
      <w:pPr>
        <w:pStyle w:val="ListParagraph"/>
        <w:numPr>
          <w:ilvl w:val="1"/>
          <w:numId w:val="21"/>
        </w:numPr>
      </w:pPr>
      <w:r>
        <w:t>Risk acceptance criteria and risk review periods based on map position are the same as for information security risks detailed above</w:t>
      </w:r>
    </w:p>
    <w:p w14:paraId="2BD67C8E" w14:textId="51B651DF" w:rsidR="00545299" w:rsidRPr="00354A3B" w:rsidRDefault="00545299" w:rsidP="00354A3B">
      <w:pPr>
        <w:rPr>
          <w:b/>
        </w:rPr>
      </w:pPr>
      <w:r w:rsidRPr="00354A3B">
        <w:rPr>
          <w:b/>
        </w:rPr>
        <w:t>Likelihood:</w:t>
      </w:r>
    </w:p>
    <w:tbl>
      <w:tblPr>
        <w:tblStyle w:val="TableGrid"/>
        <w:tblW w:w="9259" w:type="dxa"/>
        <w:tblLook w:val="04A0" w:firstRow="1" w:lastRow="0" w:firstColumn="1" w:lastColumn="0" w:noHBand="0" w:noVBand="1"/>
      </w:tblPr>
      <w:tblGrid>
        <w:gridCol w:w="999"/>
        <w:gridCol w:w="8260"/>
      </w:tblGrid>
      <w:tr w:rsidR="00545299" w:rsidRPr="003457BB" w14:paraId="5ADB2D06" w14:textId="77777777" w:rsidTr="00294B96">
        <w:tc>
          <w:tcPr>
            <w:tcW w:w="999" w:type="dxa"/>
            <w:noWrap/>
            <w:hideMark/>
          </w:tcPr>
          <w:p w14:paraId="5E751B37" w14:textId="77777777" w:rsidR="00545299" w:rsidRPr="003457BB" w:rsidRDefault="00545299" w:rsidP="00354A3B">
            <w:r w:rsidRPr="003457BB">
              <w:t>Score</w:t>
            </w:r>
          </w:p>
        </w:tc>
        <w:tc>
          <w:tcPr>
            <w:tcW w:w="8260" w:type="dxa"/>
            <w:noWrap/>
            <w:hideMark/>
          </w:tcPr>
          <w:p w14:paraId="4DA1FFB2" w14:textId="77777777" w:rsidR="00545299" w:rsidRPr="003457BB" w:rsidRDefault="00545299" w:rsidP="00354A3B">
            <w:r w:rsidRPr="003457BB">
              <w:t>Desc</w:t>
            </w:r>
            <w:r>
              <w:t>ription</w:t>
            </w:r>
          </w:p>
        </w:tc>
      </w:tr>
      <w:tr w:rsidR="00545299" w:rsidRPr="003457BB" w14:paraId="31378CA7" w14:textId="77777777" w:rsidTr="00294B96">
        <w:tc>
          <w:tcPr>
            <w:tcW w:w="999" w:type="dxa"/>
            <w:noWrap/>
            <w:hideMark/>
          </w:tcPr>
          <w:p w14:paraId="255B2575" w14:textId="77777777" w:rsidR="00545299" w:rsidRPr="003457BB" w:rsidRDefault="00545299" w:rsidP="00354A3B">
            <w:r>
              <w:t>Very low</w:t>
            </w:r>
          </w:p>
        </w:tc>
        <w:tc>
          <w:tcPr>
            <w:tcW w:w="8260" w:type="dxa"/>
            <w:noWrap/>
            <w:hideMark/>
          </w:tcPr>
          <w:p w14:paraId="34B8D105" w14:textId="157F0026" w:rsidR="00545299" w:rsidRPr="003457BB" w:rsidRDefault="00294B96" w:rsidP="00354A3B">
            <w:r>
              <w:t xml:space="preserve">The legislation </w:t>
            </w:r>
            <w:r w:rsidRPr="00D414B4">
              <w:t>has relevance for you or interested parties who rely on your services to ensure compliance</w:t>
            </w:r>
            <w:r w:rsidR="00560268">
              <w:t>. H</w:t>
            </w:r>
            <w:r w:rsidRPr="00D414B4">
              <w:t>aving complied, the legislation and controls to meet it are unlikely to chang</w:t>
            </w:r>
            <w:r>
              <w:t xml:space="preserve">e or influence daily business. </w:t>
            </w:r>
            <w:r w:rsidRPr="00D414B4">
              <w:t>It has very low day to day management and monitoring</w:t>
            </w:r>
            <w:r w:rsidR="00724FA9">
              <w:t>.</w:t>
            </w:r>
          </w:p>
        </w:tc>
      </w:tr>
      <w:tr w:rsidR="00545299" w:rsidRPr="003457BB" w14:paraId="11C72D1B" w14:textId="77777777" w:rsidTr="00294B96">
        <w:tc>
          <w:tcPr>
            <w:tcW w:w="999" w:type="dxa"/>
            <w:noWrap/>
            <w:hideMark/>
          </w:tcPr>
          <w:p w14:paraId="3B1BA25C" w14:textId="77777777" w:rsidR="00545299" w:rsidRPr="003457BB" w:rsidRDefault="00545299" w:rsidP="00354A3B">
            <w:r>
              <w:t>Low</w:t>
            </w:r>
          </w:p>
        </w:tc>
        <w:tc>
          <w:tcPr>
            <w:tcW w:w="8260" w:type="dxa"/>
            <w:noWrap/>
            <w:hideMark/>
          </w:tcPr>
          <w:p w14:paraId="2E306609" w14:textId="2528D44F" w:rsidR="00545299" w:rsidRPr="003457BB" w:rsidRDefault="00294B96" w:rsidP="00354A3B">
            <w:r>
              <w:t xml:space="preserve">The legislation </w:t>
            </w:r>
            <w:r w:rsidRPr="00D414B4">
              <w:t>has relevance for you or interested parties who rely on your services to ensure compliance but having complied, the legislation and controls to meet it are unlikely to change or influence daily business. It has low day to day management and monitoring</w:t>
            </w:r>
            <w:r w:rsidR="00724FA9">
              <w:t>.</w:t>
            </w:r>
          </w:p>
        </w:tc>
      </w:tr>
      <w:tr w:rsidR="00294B96" w:rsidRPr="003457BB" w14:paraId="636BBB02" w14:textId="77777777" w:rsidTr="00294B96">
        <w:tc>
          <w:tcPr>
            <w:tcW w:w="999" w:type="dxa"/>
            <w:noWrap/>
            <w:hideMark/>
          </w:tcPr>
          <w:p w14:paraId="211A2360" w14:textId="77777777" w:rsidR="00294B96" w:rsidRPr="003457BB" w:rsidRDefault="00294B96" w:rsidP="00354A3B">
            <w:r>
              <w:t>Medium</w:t>
            </w:r>
          </w:p>
        </w:tc>
        <w:tc>
          <w:tcPr>
            <w:tcW w:w="8260" w:type="dxa"/>
            <w:noWrap/>
            <w:hideMark/>
          </w:tcPr>
          <w:p w14:paraId="02CBE70E" w14:textId="6E37C8E6" w:rsidR="00294B96" w:rsidRPr="003457BB" w:rsidRDefault="00294B96" w:rsidP="00354A3B">
            <w:r>
              <w:t xml:space="preserve">The legislation </w:t>
            </w:r>
            <w:r w:rsidRPr="00D414B4">
              <w:t>has relevance for you or interested parties who rely on your services to ensure compliance. Having complied, the legislation and controls to meet it are unlikely to change or influence daily business but could do so given their nature. It has medium attention for management and monitoring</w:t>
            </w:r>
            <w:r w:rsidR="00724FA9">
              <w:t>.</w:t>
            </w:r>
          </w:p>
        </w:tc>
      </w:tr>
      <w:tr w:rsidR="00294B96" w:rsidRPr="003457BB" w14:paraId="1589330A" w14:textId="77777777" w:rsidTr="00294B96">
        <w:tc>
          <w:tcPr>
            <w:tcW w:w="999" w:type="dxa"/>
            <w:noWrap/>
            <w:hideMark/>
          </w:tcPr>
          <w:p w14:paraId="36F21B0A" w14:textId="77777777" w:rsidR="00294B96" w:rsidRPr="003457BB" w:rsidRDefault="00294B96" w:rsidP="00354A3B">
            <w:r>
              <w:t xml:space="preserve">High </w:t>
            </w:r>
          </w:p>
        </w:tc>
        <w:tc>
          <w:tcPr>
            <w:tcW w:w="8260" w:type="dxa"/>
            <w:noWrap/>
            <w:hideMark/>
          </w:tcPr>
          <w:p w14:paraId="01041AEA" w14:textId="78C3ADE9" w:rsidR="00294B96" w:rsidRPr="003457BB" w:rsidRDefault="00294B96" w:rsidP="00354A3B">
            <w:r>
              <w:t xml:space="preserve">The legislation </w:t>
            </w:r>
            <w:r w:rsidRPr="00D414B4">
              <w:t>has relevance for you or interested parties who rely on your services to ensure compliance. Having complied, the legislation and controls to meet it are highly likely to change or influence daily business given their nature. It has high attention for management and monitoring</w:t>
            </w:r>
            <w:r w:rsidR="00724FA9">
              <w:t>.</w:t>
            </w:r>
          </w:p>
        </w:tc>
      </w:tr>
      <w:tr w:rsidR="00294B96" w:rsidRPr="003457BB" w14:paraId="16A2FEE2" w14:textId="77777777" w:rsidTr="00294B96">
        <w:tc>
          <w:tcPr>
            <w:tcW w:w="999" w:type="dxa"/>
            <w:noWrap/>
            <w:hideMark/>
          </w:tcPr>
          <w:p w14:paraId="4B77CAAB" w14:textId="77777777" w:rsidR="00294B96" w:rsidRPr="003457BB" w:rsidRDefault="00294B96" w:rsidP="00354A3B">
            <w:r>
              <w:t>Very High</w:t>
            </w:r>
          </w:p>
        </w:tc>
        <w:tc>
          <w:tcPr>
            <w:tcW w:w="8260" w:type="dxa"/>
            <w:noWrap/>
            <w:hideMark/>
          </w:tcPr>
          <w:p w14:paraId="4DA6E4C4" w14:textId="1CE347D1" w:rsidR="00294B96" w:rsidRPr="003457BB" w:rsidRDefault="00294B96" w:rsidP="00354A3B">
            <w:r>
              <w:t xml:space="preserve">The legislation </w:t>
            </w:r>
            <w:r w:rsidRPr="00380A6C">
              <w:t>has relevance for you or interested parties who rely on your services to ensure compliance. Having complied, the legislation and controls or practices to meet it are very highly likely to change or influence daily business given their nature. It has very high attention for management and monitorin</w:t>
            </w:r>
            <w:r w:rsidR="00724FA9">
              <w:t>g.</w:t>
            </w:r>
          </w:p>
        </w:tc>
      </w:tr>
    </w:tbl>
    <w:p w14:paraId="7E46DE7D" w14:textId="3C542D08" w:rsidR="00545299" w:rsidRPr="00354A3B" w:rsidRDefault="00354A3B" w:rsidP="00354A3B">
      <w:pPr>
        <w:rPr>
          <w:b/>
        </w:rPr>
      </w:pPr>
      <w:r>
        <w:rPr>
          <w:b/>
        </w:rPr>
        <w:lastRenderedPageBreak/>
        <w:br/>
      </w:r>
      <w:r w:rsidR="00545299" w:rsidRPr="00354A3B">
        <w:rPr>
          <w:b/>
        </w:rPr>
        <w:t>Impact:</w:t>
      </w:r>
    </w:p>
    <w:tbl>
      <w:tblPr>
        <w:tblStyle w:val="TableGrid"/>
        <w:tblW w:w="9280" w:type="dxa"/>
        <w:tblLook w:val="04A0" w:firstRow="1" w:lastRow="0" w:firstColumn="1" w:lastColumn="0" w:noHBand="0" w:noVBand="1"/>
      </w:tblPr>
      <w:tblGrid>
        <w:gridCol w:w="1000"/>
        <w:gridCol w:w="8280"/>
      </w:tblGrid>
      <w:tr w:rsidR="00545299" w:rsidRPr="003457BB" w14:paraId="08C320F3" w14:textId="77777777" w:rsidTr="00354A3B">
        <w:tc>
          <w:tcPr>
            <w:tcW w:w="1000" w:type="dxa"/>
            <w:noWrap/>
            <w:hideMark/>
          </w:tcPr>
          <w:p w14:paraId="7FD260EF" w14:textId="77777777" w:rsidR="00545299" w:rsidRPr="003457BB" w:rsidRDefault="00545299" w:rsidP="00354A3B">
            <w:r w:rsidRPr="003457BB">
              <w:t>Score</w:t>
            </w:r>
          </w:p>
        </w:tc>
        <w:tc>
          <w:tcPr>
            <w:tcW w:w="8280" w:type="dxa"/>
            <w:noWrap/>
            <w:hideMark/>
          </w:tcPr>
          <w:p w14:paraId="44DDB705" w14:textId="77777777" w:rsidR="00545299" w:rsidRPr="003457BB" w:rsidRDefault="00545299" w:rsidP="00354A3B">
            <w:r w:rsidRPr="003457BB">
              <w:t>Desc</w:t>
            </w:r>
            <w:r>
              <w:t>ription</w:t>
            </w:r>
          </w:p>
        </w:tc>
      </w:tr>
      <w:tr w:rsidR="00545299" w:rsidRPr="003457BB" w14:paraId="2CF1BC5F" w14:textId="77777777" w:rsidTr="00354A3B">
        <w:tc>
          <w:tcPr>
            <w:tcW w:w="1000" w:type="dxa"/>
            <w:noWrap/>
            <w:hideMark/>
          </w:tcPr>
          <w:p w14:paraId="40D3AD7E" w14:textId="77777777" w:rsidR="00545299" w:rsidRPr="003457BB" w:rsidRDefault="00545299" w:rsidP="00354A3B">
            <w:r>
              <w:t>Very low</w:t>
            </w:r>
          </w:p>
        </w:tc>
        <w:tc>
          <w:tcPr>
            <w:tcW w:w="8280" w:type="dxa"/>
            <w:noWrap/>
            <w:hideMark/>
          </w:tcPr>
          <w:p w14:paraId="6D7B4422" w14:textId="65FB1E10" w:rsidR="00545299" w:rsidRPr="003457BB" w:rsidRDefault="00545299" w:rsidP="00354A3B">
            <w:r>
              <w:t>N</w:t>
            </w:r>
            <w:r w:rsidRPr="003457BB">
              <w:t>egligible or no damage to business operation and reputation with no costs or consequences</w:t>
            </w:r>
            <w:r w:rsidR="00CA4117">
              <w:t>.</w:t>
            </w:r>
          </w:p>
        </w:tc>
      </w:tr>
      <w:tr w:rsidR="00545299" w:rsidRPr="003457BB" w14:paraId="05A1E878" w14:textId="77777777" w:rsidTr="00354A3B">
        <w:tc>
          <w:tcPr>
            <w:tcW w:w="1000" w:type="dxa"/>
            <w:noWrap/>
            <w:hideMark/>
          </w:tcPr>
          <w:p w14:paraId="50D45144" w14:textId="77777777" w:rsidR="00545299" w:rsidRPr="003457BB" w:rsidRDefault="00545299" w:rsidP="00354A3B">
            <w:r>
              <w:t>Low</w:t>
            </w:r>
          </w:p>
        </w:tc>
        <w:tc>
          <w:tcPr>
            <w:tcW w:w="8280" w:type="dxa"/>
            <w:noWrap/>
          </w:tcPr>
          <w:p w14:paraId="7C3E85DA" w14:textId="6DBD2D38" w:rsidR="00545299" w:rsidRPr="003457BB" w:rsidRDefault="00545299" w:rsidP="00354A3B">
            <w:r w:rsidRPr="003457BB">
              <w:t xml:space="preserve">Low damage to business operation or reputation with </w:t>
            </w:r>
            <w:r w:rsidR="00294B96" w:rsidRPr="003457BB">
              <w:t>negli</w:t>
            </w:r>
            <w:r w:rsidR="00294B96">
              <w:t>gib</w:t>
            </w:r>
            <w:r w:rsidR="00294B96" w:rsidRPr="003457BB">
              <w:t xml:space="preserve">le </w:t>
            </w:r>
            <w:r w:rsidRPr="003457BB">
              <w:t>costs or consequences</w:t>
            </w:r>
            <w:r w:rsidR="00CA4117">
              <w:t>.</w:t>
            </w:r>
          </w:p>
        </w:tc>
      </w:tr>
      <w:tr w:rsidR="00545299" w:rsidRPr="003457BB" w14:paraId="5093ED8C" w14:textId="77777777" w:rsidTr="00354A3B">
        <w:tc>
          <w:tcPr>
            <w:tcW w:w="1000" w:type="dxa"/>
            <w:noWrap/>
            <w:hideMark/>
          </w:tcPr>
          <w:p w14:paraId="2F600934" w14:textId="77777777" w:rsidR="00545299" w:rsidRPr="003457BB" w:rsidRDefault="00545299" w:rsidP="00354A3B">
            <w:r>
              <w:t>Medium</w:t>
            </w:r>
          </w:p>
        </w:tc>
        <w:tc>
          <w:tcPr>
            <w:tcW w:w="8280" w:type="dxa"/>
            <w:noWrap/>
          </w:tcPr>
          <w:p w14:paraId="124DDFEB" w14:textId="00842F08" w:rsidR="00545299" w:rsidRPr="003457BB" w:rsidRDefault="00545299" w:rsidP="00354A3B">
            <w:r w:rsidRPr="003457BB">
              <w:t>Some damage or loss to business operation or reputation with some cost exposure but not affecting future prospects</w:t>
            </w:r>
            <w:r w:rsidR="00CA4117">
              <w:t>.</w:t>
            </w:r>
          </w:p>
        </w:tc>
      </w:tr>
      <w:tr w:rsidR="00545299" w:rsidRPr="003457BB" w14:paraId="238C2808" w14:textId="77777777" w:rsidTr="00354A3B">
        <w:tc>
          <w:tcPr>
            <w:tcW w:w="1000" w:type="dxa"/>
            <w:noWrap/>
            <w:hideMark/>
          </w:tcPr>
          <w:p w14:paraId="560CF005" w14:textId="77777777" w:rsidR="00545299" w:rsidRPr="003457BB" w:rsidRDefault="00545299" w:rsidP="00354A3B">
            <w:r>
              <w:t xml:space="preserve">High </w:t>
            </w:r>
          </w:p>
        </w:tc>
        <w:tc>
          <w:tcPr>
            <w:tcW w:w="8280" w:type="dxa"/>
            <w:noWrap/>
          </w:tcPr>
          <w:p w14:paraId="4960D9B1" w14:textId="0E019F34" w:rsidR="00545299" w:rsidRPr="003457BB" w:rsidRDefault="00545299" w:rsidP="00354A3B">
            <w:r w:rsidRPr="003457BB">
              <w:t>Serious but not complete damage to business operation or reputation with large cost exposure and affecting future prospects</w:t>
            </w:r>
            <w:r w:rsidR="00CA4117">
              <w:t>.</w:t>
            </w:r>
          </w:p>
        </w:tc>
      </w:tr>
      <w:tr w:rsidR="00545299" w:rsidRPr="003457BB" w14:paraId="4CEF91D2" w14:textId="77777777" w:rsidTr="00354A3B">
        <w:tc>
          <w:tcPr>
            <w:tcW w:w="1000" w:type="dxa"/>
            <w:noWrap/>
            <w:hideMark/>
          </w:tcPr>
          <w:p w14:paraId="52E86E62" w14:textId="77777777" w:rsidR="00545299" w:rsidRPr="003457BB" w:rsidRDefault="00545299" w:rsidP="00354A3B">
            <w:r>
              <w:t>Very High</w:t>
            </w:r>
          </w:p>
        </w:tc>
        <w:tc>
          <w:tcPr>
            <w:tcW w:w="8280" w:type="dxa"/>
            <w:noWrap/>
          </w:tcPr>
          <w:p w14:paraId="39DF7746" w14:textId="6F4535D3" w:rsidR="00545299" w:rsidRPr="003457BB" w:rsidRDefault="00545299" w:rsidP="00354A3B">
            <w:r w:rsidRPr="003457BB">
              <w:t>Severe damage to business operation or reputation with very large cost exposure and leaving no future prospects</w:t>
            </w:r>
            <w:r w:rsidR="00CA4117">
              <w:t>.</w:t>
            </w:r>
          </w:p>
        </w:tc>
      </w:tr>
    </w:tbl>
    <w:p w14:paraId="04F341EA" w14:textId="21A262EA" w:rsidR="00560268" w:rsidRDefault="00560268" w:rsidP="009E4082"/>
    <w:p w14:paraId="153E11E9" w14:textId="04669530" w:rsidR="00EC1164" w:rsidRPr="00127D3E" w:rsidRDefault="00EC1164" w:rsidP="006269CA">
      <w:pPr>
        <w:pStyle w:val="Heading2"/>
      </w:pPr>
      <w:bookmarkStart w:id="12" w:name="_Toc94210258"/>
      <w:r w:rsidRPr="00127D3E">
        <w:t>Alignment with other important risk</w:t>
      </w:r>
      <w:r w:rsidR="009E4082">
        <w:t>-</w:t>
      </w:r>
      <w:r w:rsidRPr="00127D3E">
        <w:t>based processes</w:t>
      </w:r>
      <w:bookmarkEnd w:id="12"/>
      <w:r w:rsidRPr="00127D3E">
        <w:t xml:space="preserve"> </w:t>
      </w:r>
    </w:p>
    <w:p w14:paraId="7DAA1679" w14:textId="5033E6F0" w:rsidR="006138EB" w:rsidRDefault="00354A3B" w:rsidP="00354A3B">
      <w:r w:rsidRPr="00354A3B">
        <w:rPr>
          <w:highlight w:val="yellow"/>
        </w:rPr>
        <w:t>&lt;ADD OR REMOVED AS REQUIRED&gt;</w:t>
      </w:r>
    </w:p>
    <w:sectPr w:rsidR="006138EB" w:rsidSect="006F055D">
      <w:footerReference w:type="default" r:id="rId13"/>
      <w:pgSz w:w="11906" w:h="16838"/>
      <w:pgMar w:top="1440" w:right="1440" w:bottom="1440" w:left="1440" w:header="709" w:footer="4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240D" w14:textId="77777777" w:rsidR="003C3602" w:rsidRDefault="003C3602">
      <w:r>
        <w:separator/>
      </w:r>
    </w:p>
  </w:endnote>
  <w:endnote w:type="continuationSeparator" w:id="0">
    <w:p w14:paraId="3B494154" w14:textId="77777777" w:rsidR="003C3602" w:rsidRDefault="003C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lwyn">
    <w:altName w:val="Calibri"/>
    <w:panose1 w:val="020B0604020202020204"/>
    <w:charset w:val="00"/>
    <w:family w:val="auto"/>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101B" w14:textId="065F856B" w:rsidR="00D44D37" w:rsidRPr="00C73404" w:rsidRDefault="00D44D37" w:rsidP="0084678F">
    <w:pPr>
      <w:pStyle w:val="Footer"/>
      <w:rPr>
        <w:rFonts w:asciiTheme="minorHAnsi" w:hAnsiTheme="minorHAnsi" w:cstheme="minorHAnsi"/>
        <w:sz w:val="16"/>
        <w:szCs w:val="16"/>
      </w:rPr>
    </w:pPr>
    <w:r w:rsidRPr="00C73404">
      <w:rPr>
        <w:rFonts w:asciiTheme="minorHAnsi" w:hAnsiTheme="minorHAnsi" w:cstheme="minorHAnsi"/>
        <w:sz w:val="16"/>
        <w:szCs w:val="16"/>
      </w:rPr>
      <w:t>Risk Assessment &amp; Treatment Methodology v1.</w:t>
    </w:r>
    <w:r w:rsidR="006F055D">
      <w:rPr>
        <w:rFonts w:asciiTheme="minorHAnsi" w:hAnsiTheme="minorHAnsi" w:cstheme="minorHAnsi"/>
        <w:sz w:val="16"/>
        <w:szCs w:val="16"/>
      </w:rPr>
      <w:t>7</w:t>
    </w:r>
    <w:r>
      <w:rPr>
        <w:rFonts w:asciiTheme="minorHAnsi" w:hAnsiTheme="minorHAnsi" w:cstheme="minorHAnsi"/>
        <w:sz w:val="16"/>
        <w:szCs w:val="16"/>
      </w:rPr>
      <w:tab/>
    </w:r>
    <w:r w:rsidRPr="00C73404">
      <w:rPr>
        <w:rFonts w:asciiTheme="minorHAnsi" w:hAnsiTheme="minorHAnsi" w:cstheme="minorHAnsi"/>
        <w:sz w:val="16"/>
        <w:szCs w:val="16"/>
      </w:rPr>
      <w:t xml:space="preserve">Page </w:t>
    </w:r>
    <w:r w:rsidRPr="00C73404">
      <w:rPr>
        <w:rStyle w:val="PageNumber"/>
        <w:rFonts w:asciiTheme="minorHAnsi" w:hAnsiTheme="minorHAnsi" w:cstheme="minorHAnsi"/>
        <w:sz w:val="16"/>
        <w:szCs w:val="16"/>
      </w:rPr>
      <w:fldChar w:fldCharType="begin"/>
    </w:r>
    <w:r w:rsidRPr="00C73404">
      <w:rPr>
        <w:rStyle w:val="PageNumber"/>
        <w:rFonts w:asciiTheme="minorHAnsi" w:hAnsiTheme="minorHAnsi" w:cstheme="minorHAnsi"/>
        <w:sz w:val="16"/>
        <w:szCs w:val="16"/>
      </w:rPr>
      <w:instrText xml:space="preserve"> PAGE </w:instrText>
    </w:r>
    <w:r w:rsidRPr="00C73404">
      <w:rPr>
        <w:rStyle w:val="PageNumber"/>
        <w:rFonts w:asciiTheme="minorHAnsi" w:hAnsiTheme="minorHAnsi" w:cstheme="minorHAnsi"/>
        <w:sz w:val="16"/>
        <w:szCs w:val="16"/>
      </w:rPr>
      <w:fldChar w:fldCharType="separate"/>
    </w:r>
    <w:r w:rsidRPr="00C73404">
      <w:rPr>
        <w:rStyle w:val="PageNumber"/>
        <w:rFonts w:asciiTheme="minorHAnsi" w:hAnsiTheme="minorHAnsi" w:cstheme="minorHAnsi"/>
        <w:noProof/>
        <w:sz w:val="16"/>
        <w:szCs w:val="16"/>
      </w:rPr>
      <w:t>1</w:t>
    </w:r>
    <w:r w:rsidRPr="00C73404">
      <w:rPr>
        <w:rStyle w:val="PageNumber"/>
        <w:rFonts w:asciiTheme="minorHAnsi" w:hAnsiTheme="minorHAnsi" w:cstheme="minorHAnsi"/>
        <w:sz w:val="16"/>
        <w:szCs w:val="16"/>
      </w:rPr>
      <w:fldChar w:fldCharType="end"/>
    </w:r>
    <w:r>
      <w:rPr>
        <w:rFonts w:asciiTheme="minorHAnsi" w:hAnsiTheme="minorHAnsi" w:cstheme="minorHAnsi"/>
        <w:sz w:val="16"/>
        <w:szCs w:val="16"/>
      </w:rPr>
      <w:tab/>
    </w:r>
    <w:r w:rsidRPr="00C73404">
      <w:rPr>
        <w:rFonts w:asciiTheme="minorHAnsi" w:hAnsiTheme="minorHAnsi" w:cstheme="minorHAnsi"/>
        <w:sz w:val="16"/>
        <w:szCs w:val="16"/>
      </w:rPr>
      <w:t>Alliantist © - Commercial in Confidence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13B75" w14:textId="77777777" w:rsidR="003C3602" w:rsidRDefault="003C3602">
      <w:r>
        <w:separator/>
      </w:r>
    </w:p>
  </w:footnote>
  <w:footnote w:type="continuationSeparator" w:id="0">
    <w:p w14:paraId="21C06090" w14:textId="77777777" w:rsidR="003C3602" w:rsidRDefault="003C3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DA45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43B78"/>
    <w:multiLevelType w:val="hybridMultilevel"/>
    <w:tmpl w:val="319CB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869C7"/>
    <w:multiLevelType w:val="hybridMultilevel"/>
    <w:tmpl w:val="AF0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924CBA"/>
    <w:multiLevelType w:val="hybridMultilevel"/>
    <w:tmpl w:val="F146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6676"/>
    <w:multiLevelType w:val="hybridMultilevel"/>
    <w:tmpl w:val="039CC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33F8"/>
    <w:multiLevelType w:val="hybridMultilevel"/>
    <w:tmpl w:val="CE8C7A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D62AE"/>
    <w:multiLevelType w:val="hybridMultilevel"/>
    <w:tmpl w:val="08F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02EF7"/>
    <w:multiLevelType w:val="hybridMultilevel"/>
    <w:tmpl w:val="F8B2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14A19"/>
    <w:multiLevelType w:val="hybridMultilevel"/>
    <w:tmpl w:val="55586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033B18"/>
    <w:multiLevelType w:val="hybridMultilevel"/>
    <w:tmpl w:val="95E2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A695A"/>
    <w:multiLevelType w:val="hybridMultilevel"/>
    <w:tmpl w:val="F3D4C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7757F3"/>
    <w:multiLevelType w:val="hybridMultilevel"/>
    <w:tmpl w:val="9216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4113A"/>
    <w:multiLevelType w:val="hybridMultilevel"/>
    <w:tmpl w:val="38C0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219D7"/>
    <w:multiLevelType w:val="hybridMultilevel"/>
    <w:tmpl w:val="152E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1731B"/>
    <w:multiLevelType w:val="hybridMultilevel"/>
    <w:tmpl w:val="78D4C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25E8A"/>
    <w:multiLevelType w:val="hybridMultilevel"/>
    <w:tmpl w:val="5C50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30F7D"/>
    <w:multiLevelType w:val="hybridMultilevel"/>
    <w:tmpl w:val="BF082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822DB"/>
    <w:multiLevelType w:val="hybridMultilevel"/>
    <w:tmpl w:val="D75465C4"/>
    <w:lvl w:ilvl="0" w:tplc="1780D9EE">
      <w:start w:val="1"/>
      <w:numFmt w:val="bullet"/>
      <w:lvlText w:val=""/>
      <w:lvlJc w:val="left"/>
      <w:pPr>
        <w:tabs>
          <w:tab w:val="num" w:pos="360"/>
        </w:tabs>
        <w:ind w:left="36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161087"/>
    <w:multiLevelType w:val="hybridMultilevel"/>
    <w:tmpl w:val="972E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F111A"/>
    <w:multiLevelType w:val="hybridMultilevel"/>
    <w:tmpl w:val="7A78EE4E"/>
    <w:lvl w:ilvl="0" w:tplc="758AB92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B466A7"/>
    <w:multiLevelType w:val="hybridMultilevel"/>
    <w:tmpl w:val="B50A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2423F3"/>
    <w:multiLevelType w:val="hybridMultilevel"/>
    <w:tmpl w:val="9120F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DD238B"/>
    <w:multiLevelType w:val="hybridMultilevel"/>
    <w:tmpl w:val="2AD0BA44"/>
    <w:lvl w:ilvl="0" w:tplc="44E2E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F689A"/>
    <w:multiLevelType w:val="hybridMultilevel"/>
    <w:tmpl w:val="ED905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CF337C"/>
    <w:multiLevelType w:val="hybridMultilevel"/>
    <w:tmpl w:val="BE0EA3C0"/>
    <w:lvl w:ilvl="0" w:tplc="1780D9EE">
      <w:start w:val="1"/>
      <w:numFmt w:val="bullet"/>
      <w:lvlText w:val=""/>
      <w:lvlJc w:val="left"/>
      <w:pPr>
        <w:tabs>
          <w:tab w:val="num" w:pos="360"/>
        </w:tabs>
        <w:ind w:left="36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B07691"/>
    <w:multiLevelType w:val="singleLevel"/>
    <w:tmpl w:val="CE1E0D6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E076CF9"/>
    <w:multiLevelType w:val="hybridMultilevel"/>
    <w:tmpl w:val="E994786C"/>
    <w:lvl w:ilvl="0" w:tplc="5428EC4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D12BAE"/>
    <w:multiLevelType w:val="hybridMultilevel"/>
    <w:tmpl w:val="CA7C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70F72"/>
    <w:multiLevelType w:val="hybridMultilevel"/>
    <w:tmpl w:val="78C6B1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9162F"/>
    <w:multiLevelType w:val="hybridMultilevel"/>
    <w:tmpl w:val="C9208CB8"/>
    <w:lvl w:ilvl="0" w:tplc="7438F71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2576B5"/>
    <w:multiLevelType w:val="hybridMultilevel"/>
    <w:tmpl w:val="966A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A504BA"/>
    <w:multiLevelType w:val="hybridMultilevel"/>
    <w:tmpl w:val="14D8F8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171BF"/>
    <w:multiLevelType w:val="hybridMultilevel"/>
    <w:tmpl w:val="11400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730F97"/>
    <w:multiLevelType w:val="hybridMultilevel"/>
    <w:tmpl w:val="9D4E2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52E0B"/>
    <w:multiLevelType w:val="hybridMultilevel"/>
    <w:tmpl w:val="78D4C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76AE3"/>
    <w:multiLevelType w:val="hybridMultilevel"/>
    <w:tmpl w:val="95C4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033E6"/>
    <w:multiLevelType w:val="hybridMultilevel"/>
    <w:tmpl w:val="696A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AF436C"/>
    <w:multiLevelType w:val="hybridMultilevel"/>
    <w:tmpl w:val="BB66CA26"/>
    <w:lvl w:ilvl="0" w:tplc="05A4C3C4">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26241"/>
    <w:multiLevelType w:val="multilevel"/>
    <w:tmpl w:val="3D149CE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9" w15:restartNumberingAfterBreak="0">
    <w:nsid w:val="7ABF3DF7"/>
    <w:multiLevelType w:val="hybridMultilevel"/>
    <w:tmpl w:val="BBA2C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FF1869"/>
    <w:multiLevelType w:val="hybridMultilevel"/>
    <w:tmpl w:val="FF4A4C26"/>
    <w:lvl w:ilvl="0" w:tplc="C924F5A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648C9"/>
    <w:multiLevelType w:val="multilevel"/>
    <w:tmpl w:val="114A8352"/>
    <w:lvl w:ilvl="0">
      <w:start w:val="1"/>
      <w:numFmt w:val="bullet"/>
      <w:lvlText w:val=""/>
      <w:lvlJc w:val="left"/>
      <w:pPr>
        <w:tabs>
          <w:tab w:val="num" w:pos="720"/>
        </w:tabs>
        <w:ind w:left="720" w:hanging="360"/>
      </w:pPr>
      <w:rPr>
        <w:rFonts w:ascii="Symbol" w:hAnsi="Symbol" w:hint="default"/>
        <w:sz w:val="20"/>
      </w:rPr>
    </w:lvl>
    <w:lvl w:ilvl="1" w:tentative="1">
      <w:start w:val="1"/>
      <w:numFmt w:val="bullet"/>
      <w:pStyle w:val="Heading3"/>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C45761"/>
    <w:multiLevelType w:val="hybridMultilevel"/>
    <w:tmpl w:val="0902D87A"/>
    <w:lvl w:ilvl="0" w:tplc="4E629E84">
      <w:start w:val="1"/>
      <w:numFmt w:val="decimal"/>
      <w:pStyle w:val="Heading2"/>
      <w:lvlText w:val="%1."/>
      <w:lvlJc w:val="left"/>
      <w:pPr>
        <w:ind w:left="800" w:hanging="44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1"/>
  </w:num>
  <w:num w:numId="3">
    <w:abstractNumId w:val="24"/>
  </w:num>
  <w:num w:numId="4">
    <w:abstractNumId w:val="17"/>
  </w:num>
  <w:num w:numId="5">
    <w:abstractNumId w:val="23"/>
  </w:num>
  <w:num w:numId="6">
    <w:abstractNumId w:val="2"/>
  </w:num>
  <w:num w:numId="7">
    <w:abstractNumId w:val="37"/>
  </w:num>
  <w:num w:numId="8">
    <w:abstractNumId w:val="18"/>
  </w:num>
  <w:num w:numId="9">
    <w:abstractNumId w:val="6"/>
  </w:num>
  <w:num w:numId="10">
    <w:abstractNumId w:val="21"/>
  </w:num>
  <w:num w:numId="11">
    <w:abstractNumId w:val="0"/>
  </w:num>
  <w:num w:numId="12">
    <w:abstractNumId w:val="34"/>
  </w:num>
  <w:num w:numId="13">
    <w:abstractNumId w:val="36"/>
  </w:num>
  <w:num w:numId="14">
    <w:abstractNumId w:val="3"/>
  </w:num>
  <w:num w:numId="15">
    <w:abstractNumId w:val="35"/>
  </w:num>
  <w:num w:numId="16">
    <w:abstractNumId w:val="30"/>
  </w:num>
  <w:num w:numId="17">
    <w:abstractNumId w:val="16"/>
  </w:num>
  <w:num w:numId="18">
    <w:abstractNumId w:val="7"/>
  </w:num>
  <w:num w:numId="19">
    <w:abstractNumId w:val="14"/>
  </w:num>
  <w:num w:numId="20">
    <w:abstractNumId w:val="22"/>
  </w:num>
  <w:num w:numId="21">
    <w:abstractNumId w:val="1"/>
  </w:num>
  <w:num w:numId="22">
    <w:abstractNumId w:val="13"/>
  </w:num>
  <w:num w:numId="23">
    <w:abstractNumId w:val="33"/>
  </w:num>
  <w:num w:numId="24">
    <w:abstractNumId w:val="3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5">
    <w:abstractNumId w:val="3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6">
    <w:abstractNumId w:val="26"/>
  </w:num>
  <w:num w:numId="27">
    <w:abstractNumId w:val="3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8">
    <w:abstractNumId w:val="3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9">
    <w:abstractNumId w:val="26"/>
  </w:num>
  <w:num w:numId="30">
    <w:abstractNumId w:val="3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31">
    <w:abstractNumId w:val="3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32">
    <w:abstractNumId w:val="26"/>
  </w:num>
  <w:num w:numId="33">
    <w:abstractNumId w:val="12"/>
  </w:num>
  <w:num w:numId="34">
    <w:abstractNumId w:val="11"/>
  </w:num>
  <w:num w:numId="35">
    <w:abstractNumId w:val="5"/>
  </w:num>
  <w:num w:numId="36">
    <w:abstractNumId w:val="31"/>
  </w:num>
  <w:num w:numId="37">
    <w:abstractNumId w:val="40"/>
  </w:num>
  <w:num w:numId="38">
    <w:abstractNumId w:val="20"/>
  </w:num>
  <w:num w:numId="39">
    <w:abstractNumId w:val="27"/>
  </w:num>
  <w:num w:numId="40">
    <w:abstractNumId w:val="10"/>
  </w:num>
  <w:num w:numId="41">
    <w:abstractNumId w:val="15"/>
  </w:num>
  <w:num w:numId="42">
    <w:abstractNumId w:val="9"/>
  </w:num>
  <w:num w:numId="43">
    <w:abstractNumId w:val="32"/>
  </w:num>
  <w:num w:numId="44">
    <w:abstractNumId w:val="19"/>
  </w:num>
  <w:num w:numId="45">
    <w:abstractNumId w:val="29"/>
  </w:num>
  <w:num w:numId="46">
    <w:abstractNumId w:val="39"/>
  </w:num>
  <w:num w:numId="47">
    <w:abstractNumId w:val="42"/>
  </w:num>
  <w:num w:numId="48">
    <w:abstractNumId w:val="28"/>
  </w:num>
  <w:num w:numId="49">
    <w:abstractNumId w:val="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5918"/>
    <w:rsid w:val="0002004E"/>
    <w:rsid w:val="00055DD3"/>
    <w:rsid w:val="00056895"/>
    <w:rsid w:val="00062C4B"/>
    <w:rsid w:val="000667AF"/>
    <w:rsid w:val="00066B76"/>
    <w:rsid w:val="000721DA"/>
    <w:rsid w:val="00081C8D"/>
    <w:rsid w:val="00083214"/>
    <w:rsid w:val="00087916"/>
    <w:rsid w:val="00094BD8"/>
    <w:rsid w:val="000A20BC"/>
    <w:rsid w:val="000D47BB"/>
    <w:rsid w:val="000D520A"/>
    <w:rsid w:val="000E70B2"/>
    <w:rsid w:val="000F2C39"/>
    <w:rsid w:val="001105C6"/>
    <w:rsid w:val="001121E7"/>
    <w:rsid w:val="00127D3E"/>
    <w:rsid w:val="00130577"/>
    <w:rsid w:val="001319B7"/>
    <w:rsid w:val="00145004"/>
    <w:rsid w:val="00145445"/>
    <w:rsid w:val="00146054"/>
    <w:rsid w:val="00152142"/>
    <w:rsid w:val="001555CB"/>
    <w:rsid w:val="0016017F"/>
    <w:rsid w:val="00186BAE"/>
    <w:rsid w:val="0019166F"/>
    <w:rsid w:val="00195995"/>
    <w:rsid w:val="001B7483"/>
    <w:rsid w:val="001C044C"/>
    <w:rsid w:val="001C40E6"/>
    <w:rsid w:val="001C7715"/>
    <w:rsid w:val="001D0EE9"/>
    <w:rsid w:val="001D64E6"/>
    <w:rsid w:val="001E44AA"/>
    <w:rsid w:val="001F1737"/>
    <w:rsid w:val="001F1A40"/>
    <w:rsid w:val="0021089C"/>
    <w:rsid w:val="00222941"/>
    <w:rsid w:val="002241CB"/>
    <w:rsid w:val="00231A27"/>
    <w:rsid w:val="00237B80"/>
    <w:rsid w:val="0025274D"/>
    <w:rsid w:val="0025698B"/>
    <w:rsid w:val="00262D12"/>
    <w:rsid w:val="002645DF"/>
    <w:rsid w:val="0026470A"/>
    <w:rsid w:val="0028590D"/>
    <w:rsid w:val="00292BFA"/>
    <w:rsid w:val="00294B96"/>
    <w:rsid w:val="002C0FEB"/>
    <w:rsid w:val="002C1937"/>
    <w:rsid w:val="002C69A8"/>
    <w:rsid w:val="002D6E51"/>
    <w:rsid w:val="002D7618"/>
    <w:rsid w:val="003277F0"/>
    <w:rsid w:val="003457BB"/>
    <w:rsid w:val="00352FBB"/>
    <w:rsid w:val="00354A3B"/>
    <w:rsid w:val="00363C8C"/>
    <w:rsid w:val="003800CA"/>
    <w:rsid w:val="00384F86"/>
    <w:rsid w:val="0038656A"/>
    <w:rsid w:val="003B103C"/>
    <w:rsid w:val="003C1135"/>
    <w:rsid w:val="003C3602"/>
    <w:rsid w:val="003D1309"/>
    <w:rsid w:val="003D1D3C"/>
    <w:rsid w:val="003D6169"/>
    <w:rsid w:val="003D651B"/>
    <w:rsid w:val="003E7701"/>
    <w:rsid w:val="00424045"/>
    <w:rsid w:val="00425C05"/>
    <w:rsid w:val="00456598"/>
    <w:rsid w:val="004578E2"/>
    <w:rsid w:val="00464BC2"/>
    <w:rsid w:val="00464FAB"/>
    <w:rsid w:val="004869E3"/>
    <w:rsid w:val="004C508C"/>
    <w:rsid w:val="004E2D5E"/>
    <w:rsid w:val="004F5F55"/>
    <w:rsid w:val="005077AC"/>
    <w:rsid w:val="00512DD9"/>
    <w:rsid w:val="005150BA"/>
    <w:rsid w:val="005241A8"/>
    <w:rsid w:val="0053617F"/>
    <w:rsid w:val="00545299"/>
    <w:rsid w:val="00547430"/>
    <w:rsid w:val="005577ED"/>
    <w:rsid w:val="00560268"/>
    <w:rsid w:val="00574CFB"/>
    <w:rsid w:val="0059004E"/>
    <w:rsid w:val="005C4064"/>
    <w:rsid w:val="005C6D09"/>
    <w:rsid w:val="005F0838"/>
    <w:rsid w:val="00607472"/>
    <w:rsid w:val="00607A95"/>
    <w:rsid w:val="00607B87"/>
    <w:rsid w:val="006138EB"/>
    <w:rsid w:val="00614797"/>
    <w:rsid w:val="006269CA"/>
    <w:rsid w:val="00627D1D"/>
    <w:rsid w:val="00644F04"/>
    <w:rsid w:val="00646E23"/>
    <w:rsid w:val="006615CF"/>
    <w:rsid w:val="0066493F"/>
    <w:rsid w:val="00667C93"/>
    <w:rsid w:val="00674E04"/>
    <w:rsid w:val="00696AB9"/>
    <w:rsid w:val="006B2FA3"/>
    <w:rsid w:val="006B3B8E"/>
    <w:rsid w:val="006B664D"/>
    <w:rsid w:val="006C0DCE"/>
    <w:rsid w:val="006C207D"/>
    <w:rsid w:val="006C6700"/>
    <w:rsid w:val="006C791C"/>
    <w:rsid w:val="006D090A"/>
    <w:rsid w:val="006E110D"/>
    <w:rsid w:val="006F055D"/>
    <w:rsid w:val="00700043"/>
    <w:rsid w:val="0070031E"/>
    <w:rsid w:val="0070123A"/>
    <w:rsid w:val="00703DD9"/>
    <w:rsid w:val="00724FA9"/>
    <w:rsid w:val="007250BD"/>
    <w:rsid w:val="00734644"/>
    <w:rsid w:val="0075467C"/>
    <w:rsid w:val="00755427"/>
    <w:rsid w:val="007609AA"/>
    <w:rsid w:val="007659CF"/>
    <w:rsid w:val="00765E3D"/>
    <w:rsid w:val="007701D9"/>
    <w:rsid w:val="00781A16"/>
    <w:rsid w:val="0078550D"/>
    <w:rsid w:val="00794D6A"/>
    <w:rsid w:val="007A1A4A"/>
    <w:rsid w:val="007B40EE"/>
    <w:rsid w:val="007D7EDA"/>
    <w:rsid w:val="007E4C5C"/>
    <w:rsid w:val="00805571"/>
    <w:rsid w:val="0081598A"/>
    <w:rsid w:val="008252BA"/>
    <w:rsid w:val="00836A61"/>
    <w:rsid w:val="00841686"/>
    <w:rsid w:val="00842EA6"/>
    <w:rsid w:val="0084678F"/>
    <w:rsid w:val="00864E05"/>
    <w:rsid w:val="008652ED"/>
    <w:rsid w:val="008A0FA9"/>
    <w:rsid w:val="008C15E1"/>
    <w:rsid w:val="008C39D0"/>
    <w:rsid w:val="008C77E8"/>
    <w:rsid w:val="008D1445"/>
    <w:rsid w:val="008D27D7"/>
    <w:rsid w:val="008D6617"/>
    <w:rsid w:val="008E0411"/>
    <w:rsid w:val="008F2039"/>
    <w:rsid w:val="00910196"/>
    <w:rsid w:val="00915783"/>
    <w:rsid w:val="009539E3"/>
    <w:rsid w:val="00992075"/>
    <w:rsid w:val="0099328D"/>
    <w:rsid w:val="0099763D"/>
    <w:rsid w:val="009A650C"/>
    <w:rsid w:val="009B0082"/>
    <w:rsid w:val="009D0229"/>
    <w:rsid w:val="009D1897"/>
    <w:rsid w:val="009D21A9"/>
    <w:rsid w:val="009E4082"/>
    <w:rsid w:val="009E4918"/>
    <w:rsid w:val="009E4ADF"/>
    <w:rsid w:val="009F57BD"/>
    <w:rsid w:val="00A0277A"/>
    <w:rsid w:val="00A04B44"/>
    <w:rsid w:val="00A10C97"/>
    <w:rsid w:val="00A16F49"/>
    <w:rsid w:val="00A2373B"/>
    <w:rsid w:val="00A5011A"/>
    <w:rsid w:val="00A60AFF"/>
    <w:rsid w:val="00A63BB9"/>
    <w:rsid w:val="00A65E05"/>
    <w:rsid w:val="00A83D36"/>
    <w:rsid w:val="00A84AB9"/>
    <w:rsid w:val="00A8657A"/>
    <w:rsid w:val="00A9723A"/>
    <w:rsid w:val="00AC5616"/>
    <w:rsid w:val="00AC5B24"/>
    <w:rsid w:val="00AD438E"/>
    <w:rsid w:val="00AD6A7F"/>
    <w:rsid w:val="00AE5CEF"/>
    <w:rsid w:val="00B070A2"/>
    <w:rsid w:val="00B10108"/>
    <w:rsid w:val="00B34395"/>
    <w:rsid w:val="00B37D73"/>
    <w:rsid w:val="00B47ED2"/>
    <w:rsid w:val="00B5002D"/>
    <w:rsid w:val="00B53CA3"/>
    <w:rsid w:val="00B635F0"/>
    <w:rsid w:val="00B656B3"/>
    <w:rsid w:val="00B701C7"/>
    <w:rsid w:val="00BA0241"/>
    <w:rsid w:val="00BA246C"/>
    <w:rsid w:val="00BA455A"/>
    <w:rsid w:val="00BA6572"/>
    <w:rsid w:val="00BC29B9"/>
    <w:rsid w:val="00BC3F05"/>
    <w:rsid w:val="00BC55D1"/>
    <w:rsid w:val="00BD4F48"/>
    <w:rsid w:val="00BE2938"/>
    <w:rsid w:val="00BF1951"/>
    <w:rsid w:val="00BF7A1A"/>
    <w:rsid w:val="00C01D6C"/>
    <w:rsid w:val="00C070FB"/>
    <w:rsid w:val="00C206DE"/>
    <w:rsid w:val="00C427D0"/>
    <w:rsid w:val="00C47153"/>
    <w:rsid w:val="00C47258"/>
    <w:rsid w:val="00C528FC"/>
    <w:rsid w:val="00C54A05"/>
    <w:rsid w:val="00C63DC1"/>
    <w:rsid w:val="00C73404"/>
    <w:rsid w:val="00C75A0D"/>
    <w:rsid w:val="00C86CD8"/>
    <w:rsid w:val="00C87843"/>
    <w:rsid w:val="00C904C7"/>
    <w:rsid w:val="00CA3264"/>
    <w:rsid w:val="00CA3690"/>
    <w:rsid w:val="00CA4117"/>
    <w:rsid w:val="00CB05D3"/>
    <w:rsid w:val="00CB23FF"/>
    <w:rsid w:val="00CC76A1"/>
    <w:rsid w:val="00CC7862"/>
    <w:rsid w:val="00CD491B"/>
    <w:rsid w:val="00CD690D"/>
    <w:rsid w:val="00CF02F1"/>
    <w:rsid w:val="00CF5E62"/>
    <w:rsid w:val="00D04C91"/>
    <w:rsid w:val="00D14A81"/>
    <w:rsid w:val="00D14E30"/>
    <w:rsid w:val="00D26D95"/>
    <w:rsid w:val="00D403FA"/>
    <w:rsid w:val="00D404A5"/>
    <w:rsid w:val="00D440DA"/>
    <w:rsid w:val="00D44D37"/>
    <w:rsid w:val="00D5242C"/>
    <w:rsid w:val="00D5306F"/>
    <w:rsid w:val="00D55B4B"/>
    <w:rsid w:val="00D616FF"/>
    <w:rsid w:val="00D85388"/>
    <w:rsid w:val="00D902EB"/>
    <w:rsid w:val="00DA002F"/>
    <w:rsid w:val="00DC14CA"/>
    <w:rsid w:val="00DD0786"/>
    <w:rsid w:val="00DD2945"/>
    <w:rsid w:val="00E04E80"/>
    <w:rsid w:val="00E11335"/>
    <w:rsid w:val="00E5212E"/>
    <w:rsid w:val="00E56883"/>
    <w:rsid w:val="00E700A5"/>
    <w:rsid w:val="00E7257D"/>
    <w:rsid w:val="00E83E71"/>
    <w:rsid w:val="00EB16E1"/>
    <w:rsid w:val="00EB768F"/>
    <w:rsid w:val="00EC1164"/>
    <w:rsid w:val="00EE5BD1"/>
    <w:rsid w:val="00EF719E"/>
    <w:rsid w:val="00F26354"/>
    <w:rsid w:val="00F318C1"/>
    <w:rsid w:val="00F32544"/>
    <w:rsid w:val="00F5126E"/>
    <w:rsid w:val="00F5208A"/>
    <w:rsid w:val="00F668DA"/>
    <w:rsid w:val="00F73D86"/>
    <w:rsid w:val="00F77EB0"/>
    <w:rsid w:val="00F95D5C"/>
    <w:rsid w:val="00F976F3"/>
    <w:rsid w:val="00FA6AD2"/>
    <w:rsid w:val="00FB41D9"/>
    <w:rsid w:val="00FD57B2"/>
    <w:rsid w:val="00FD5C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3FC1C0"/>
  <w14:defaultImageDpi w14:val="300"/>
  <w15:docId w15:val="{464E0963-366F-C645-B7B6-EBCE504E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404"/>
    <w:pPr>
      <w:spacing w:before="120" w:after="100" w:afterAutospacing="1" w:line="276" w:lineRule="auto"/>
    </w:pPr>
    <w:rPr>
      <w:rFonts w:ascii="Arial" w:hAnsi="Arial" w:cs="Arial"/>
      <w:color w:val="494854"/>
      <w:sz w:val="22"/>
      <w:lang w:eastAsia="en-GB"/>
    </w:rPr>
  </w:style>
  <w:style w:type="paragraph" w:styleId="Heading1">
    <w:name w:val="heading 1"/>
    <w:basedOn w:val="Normal"/>
    <w:next w:val="Normal"/>
    <w:link w:val="Heading1Char"/>
    <w:uiPriority w:val="9"/>
    <w:qFormat/>
    <w:rsid w:val="00C73404"/>
    <w:pPr>
      <w:outlineLvl w:val="0"/>
    </w:pPr>
    <w:rPr>
      <w:rFonts w:asciiTheme="majorHAnsi" w:hAnsiTheme="majorHAnsi" w:cstheme="majorHAnsi"/>
      <w:noProof/>
      <w:color w:val="1B1650"/>
      <w:sz w:val="56"/>
      <w:szCs w:val="56"/>
    </w:rPr>
  </w:style>
  <w:style w:type="paragraph" w:styleId="Heading2">
    <w:name w:val="heading 2"/>
    <w:basedOn w:val="Normal"/>
    <w:next w:val="Normal"/>
    <w:link w:val="Heading2Char"/>
    <w:uiPriority w:val="9"/>
    <w:unhideWhenUsed/>
    <w:qFormat/>
    <w:rsid w:val="006269CA"/>
    <w:pPr>
      <w:widowControl w:val="0"/>
      <w:numPr>
        <w:numId w:val="47"/>
      </w:numPr>
      <w:autoSpaceDE w:val="0"/>
      <w:autoSpaceDN w:val="0"/>
      <w:adjustRightInd w:val="0"/>
      <w:spacing w:after="240"/>
      <w:ind w:left="426" w:hanging="426"/>
      <w:outlineLvl w:val="1"/>
    </w:pPr>
    <w:rPr>
      <w:rFonts w:asciiTheme="minorHAnsi" w:hAnsiTheme="minorHAnsi" w:cstheme="minorHAnsi"/>
      <w:color w:val="1B1650"/>
      <w:sz w:val="40"/>
      <w:szCs w:val="40"/>
    </w:rPr>
  </w:style>
  <w:style w:type="paragraph" w:styleId="Heading3">
    <w:name w:val="heading 3"/>
    <w:basedOn w:val="Normal"/>
    <w:next w:val="Normal"/>
    <w:link w:val="Heading3Char"/>
    <w:uiPriority w:val="9"/>
    <w:semiHidden/>
    <w:unhideWhenUsed/>
    <w:qFormat/>
    <w:rsid w:val="00127D3E"/>
    <w:pPr>
      <w:widowControl w:val="0"/>
      <w:numPr>
        <w:ilvl w:val="1"/>
        <w:numId w:val="2"/>
      </w:numPr>
      <w:tabs>
        <w:tab w:val="clear" w:pos="1440"/>
      </w:tabs>
      <w:autoSpaceDE w:val="0"/>
      <w:autoSpaceDN w:val="0"/>
      <w:adjustRightInd w:val="0"/>
      <w:spacing w:after="240"/>
      <w:ind w:left="0" w:firstLine="0"/>
      <w:outlineLvl w:val="2"/>
    </w:pPr>
    <w:rPr>
      <w:rFonts w:ascii="Alwyn" w:hAnsi="Alwyn" w:cs="Times"/>
      <w:color w:val="6BAD47" w:themeColor="text2"/>
      <w:sz w:val="32"/>
      <w:szCs w:val="32"/>
    </w:rPr>
  </w:style>
  <w:style w:type="paragraph" w:styleId="Heading4">
    <w:name w:val="heading 4"/>
    <w:basedOn w:val="Normal"/>
    <w:next w:val="Normal"/>
    <w:link w:val="Heading4Char"/>
    <w:uiPriority w:val="9"/>
    <w:semiHidden/>
    <w:unhideWhenUsed/>
    <w:qFormat/>
    <w:rsid w:val="00127D3E"/>
    <w:pPr>
      <w:outlineLvl w:val="3"/>
    </w:pPr>
    <w:rPr>
      <w:rFonts w:asciiTheme="minorHAnsi" w:hAnsiTheme="minorHAnsi" w:cstheme="minorHAnsi"/>
      <w:b/>
      <w:lang w:eastAsia="en-US"/>
    </w:rPr>
  </w:style>
  <w:style w:type="paragraph" w:styleId="Heading5">
    <w:name w:val="heading 5"/>
    <w:basedOn w:val="Normal"/>
    <w:next w:val="Normal"/>
    <w:link w:val="Heading5Char"/>
    <w:uiPriority w:val="9"/>
    <w:semiHidden/>
    <w:unhideWhenUsed/>
    <w:qFormat/>
    <w:rsid w:val="00127D3E"/>
    <w:pPr>
      <w:keepNext/>
      <w:keepLines/>
      <w:spacing w:before="200"/>
      <w:outlineLvl w:val="4"/>
    </w:pPr>
    <w:rPr>
      <w:rFonts w:asciiTheme="majorHAnsi" w:eastAsiaTheme="majorEastAsia" w:hAnsiTheme="majorHAnsi" w:cstheme="majorBidi"/>
      <w:color w:val="073C5A" w:themeColor="accent1" w:themeShade="7F"/>
      <w:lang w:eastAsia="en-US"/>
    </w:rPr>
  </w:style>
  <w:style w:type="paragraph" w:styleId="Heading6">
    <w:name w:val="heading 6"/>
    <w:basedOn w:val="Normal"/>
    <w:next w:val="Normal"/>
    <w:link w:val="Heading6Char"/>
    <w:uiPriority w:val="9"/>
    <w:semiHidden/>
    <w:unhideWhenUsed/>
    <w:qFormat/>
    <w:rsid w:val="00127D3E"/>
    <w:pPr>
      <w:keepNext/>
      <w:keepLines/>
      <w:spacing w:before="200"/>
      <w:outlineLvl w:val="5"/>
    </w:pPr>
    <w:rPr>
      <w:rFonts w:asciiTheme="majorHAnsi" w:eastAsiaTheme="majorEastAsia" w:hAnsiTheme="majorHAnsi" w:cstheme="majorBidi"/>
      <w:i/>
      <w:iCs/>
      <w:color w:val="073C5A" w:themeColor="accent1" w:themeShade="7F"/>
      <w:lang w:eastAsia="en-US"/>
    </w:rPr>
  </w:style>
  <w:style w:type="paragraph" w:styleId="Heading7">
    <w:name w:val="heading 7"/>
    <w:basedOn w:val="Normal"/>
    <w:next w:val="Normal"/>
    <w:link w:val="Heading7Char"/>
    <w:uiPriority w:val="9"/>
    <w:semiHidden/>
    <w:unhideWhenUsed/>
    <w:qFormat/>
    <w:rsid w:val="00127D3E"/>
    <w:pPr>
      <w:keepNext/>
      <w:keepLines/>
      <w:spacing w:before="200"/>
      <w:outlineLvl w:val="6"/>
    </w:pPr>
    <w:rPr>
      <w:rFonts w:asciiTheme="majorHAnsi" w:eastAsiaTheme="majorEastAsia" w:hAnsiTheme="majorHAnsi" w:cstheme="majorBidi"/>
      <w:i/>
      <w:iCs/>
      <w:color w:val="8A8A8A" w:themeColor="text1" w:themeTint="BF"/>
      <w:lang w:eastAsia="en-US"/>
    </w:rPr>
  </w:style>
  <w:style w:type="paragraph" w:styleId="Heading8">
    <w:name w:val="heading 8"/>
    <w:basedOn w:val="Normal"/>
    <w:next w:val="Normal"/>
    <w:link w:val="Heading8Char"/>
    <w:uiPriority w:val="9"/>
    <w:semiHidden/>
    <w:unhideWhenUsed/>
    <w:qFormat/>
    <w:rsid w:val="00127D3E"/>
    <w:pPr>
      <w:keepNext/>
      <w:keepLines/>
      <w:spacing w:before="200"/>
      <w:outlineLvl w:val="7"/>
    </w:pPr>
    <w:rPr>
      <w:rFonts w:asciiTheme="majorHAnsi" w:eastAsiaTheme="majorEastAsia" w:hAnsiTheme="majorHAnsi" w:cstheme="majorBidi"/>
      <w:color w:val="8A8A8A" w:themeColor="text1" w:themeTint="BF"/>
      <w:sz w:val="20"/>
      <w:szCs w:val="20"/>
      <w:lang w:eastAsia="en-US"/>
    </w:rPr>
  </w:style>
  <w:style w:type="paragraph" w:styleId="Heading9">
    <w:name w:val="heading 9"/>
    <w:basedOn w:val="Normal"/>
    <w:next w:val="Normal"/>
    <w:link w:val="Heading9Char"/>
    <w:uiPriority w:val="9"/>
    <w:semiHidden/>
    <w:unhideWhenUsed/>
    <w:qFormat/>
    <w:rsid w:val="00127D3E"/>
    <w:pPr>
      <w:keepNext/>
      <w:keepLines/>
      <w:spacing w:before="200"/>
      <w:outlineLvl w:val="8"/>
    </w:pPr>
    <w:rPr>
      <w:rFonts w:asciiTheme="majorHAnsi" w:eastAsiaTheme="majorEastAsia" w:hAnsiTheme="majorHAnsi" w:cstheme="majorBidi"/>
      <w:i/>
      <w:iCs/>
      <w:color w:val="8A8A8A"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uiPriority w:val="99"/>
    <w:rsid w:val="00145445"/>
    <w:rPr>
      <w:color w:val="0000FF"/>
      <w:u w:val="single"/>
    </w:rPr>
  </w:style>
  <w:style w:type="paragraph" w:styleId="BalloonText">
    <w:name w:val="Balloon Text"/>
    <w:basedOn w:val="Normal"/>
    <w:semiHidden/>
    <w:rsid w:val="0002004E"/>
    <w:rPr>
      <w:rFonts w:ascii="Tahoma" w:hAnsi="Tahoma" w:cs="Tahoma"/>
      <w:sz w:val="16"/>
      <w:szCs w:val="16"/>
    </w:rPr>
  </w:style>
  <w:style w:type="paragraph" w:styleId="BodyText">
    <w:name w:val="Body Text"/>
    <w:basedOn w:val="Normal"/>
    <w:link w:val="BodyTextChar"/>
    <w:rsid w:val="004578E2"/>
    <w:rPr>
      <w:szCs w:val="22"/>
      <w:lang w:eastAsia="en-US"/>
    </w:rPr>
  </w:style>
  <w:style w:type="character" w:customStyle="1" w:styleId="BodyTextChar">
    <w:name w:val="Body Text Char"/>
    <w:link w:val="BodyText"/>
    <w:rsid w:val="004578E2"/>
    <w:rPr>
      <w:rFonts w:ascii="Arial" w:hAnsi="Arial" w:cs="Arial"/>
      <w:sz w:val="22"/>
      <w:szCs w:val="22"/>
      <w:lang w:eastAsia="en-US"/>
    </w:rPr>
  </w:style>
  <w:style w:type="paragraph" w:styleId="Title">
    <w:name w:val="Title"/>
    <w:basedOn w:val="Normal"/>
    <w:next w:val="Normal"/>
    <w:link w:val="TitleChar"/>
    <w:uiPriority w:val="10"/>
    <w:qFormat/>
    <w:rsid w:val="00127D3E"/>
    <w:pPr>
      <w:pBdr>
        <w:bottom w:val="single" w:sz="8" w:space="4" w:color="0F7BB6" w:themeColor="accent1"/>
      </w:pBdr>
      <w:spacing w:after="300"/>
      <w:contextualSpacing/>
    </w:pPr>
    <w:rPr>
      <w:rFonts w:asciiTheme="majorHAnsi" w:eastAsiaTheme="majorEastAsia" w:hAnsiTheme="majorHAnsi" w:cstheme="majorBidi"/>
      <w:color w:val="508135" w:themeColor="text2" w:themeShade="BF"/>
      <w:spacing w:val="5"/>
      <w:kern w:val="28"/>
      <w:sz w:val="52"/>
      <w:szCs w:val="52"/>
      <w:lang w:eastAsia="en-US"/>
    </w:rPr>
  </w:style>
  <w:style w:type="character" w:customStyle="1" w:styleId="TitleChar">
    <w:name w:val="Title Char"/>
    <w:basedOn w:val="DefaultParagraphFont"/>
    <w:link w:val="Title"/>
    <w:uiPriority w:val="10"/>
    <w:rsid w:val="00127D3E"/>
    <w:rPr>
      <w:rFonts w:asciiTheme="majorHAnsi" w:eastAsiaTheme="majorEastAsia" w:hAnsiTheme="majorHAnsi" w:cstheme="majorBidi"/>
      <w:color w:val="508135" w:themeColor="text2" w:themeShade="BF"/>
      <w:spacing w:val="5"/>
      <w:kern w:val="28"/>
      <w:sz w:val="52"/>
      <w:szCs w:val="52"/>
    </w:rPr>
  </w:style>
  <w:style w:type="paragraph" w:customStyle="1" w:styleId="Default">
    <w:name w:val="Default"/>
    <w:rsid w:val="008E0411"/>
    <w:pPr>
      <w:autoSpaceDE w:val="0"/>
      <w:autoSpaceDN w:val="0"/>
      <w:adjustRightInd w:val="0"/>
    </w:pPr>
    <w:rPr>
      <w:rFonts w:ascii="Calibri" w:hAnsi="Calibri" w:cs="Calibri"/>
      <w:color w:val="000000"/>
      <w:lang w:eastAsia="en-GB"/>
    </w:rPr>
  </w:style>
  <w:style w:type="character" w:styleId="CommentReference">
    <w:name w:val="annotation reference"/>
    <w:uiPriority w:val="99"/>
    <w:semiHidden/>
    <w:unhideWhenUsed/>
    <w:rsid w:val="00805571"/>
    <w:rPr>
      <w:sz w:val="16"/>
      <w:szCs w:val="16"/>
    </w:rPr>
  </w:style>
  <w:style w:type="paragraph" w:styleId="CommentText">
    <w:name w:val="annotation text"/>
    <w:basedOn w:val="Normal"/>
    <w:link w:val="CommentTextChar"/>
    <w:uiPriority w:val="99"/>
    <w:semiHidden/>
    <w:unhideWhenUsed/>
    <w:rsid w:val="00805571"/>
    <w:rPr>
      <w:sz w:val="20"/>
    </w:rPr>
  </w:style>
  <w:style w:type="character" w:customStyle="1" w:styleId="CommentTextChar">
    <w:name w:val="Comment Text Char"/>
    <w:link w:val="CommentText"/>
    <w:uiPriority w:val="99"/>
    <w:semiHidden/>
    <w:rsid w:val="00805571"/>
    <w:rPr>
      <w:rFonts w:ascii="CG Times" w:hAnsi="CG Times"/>
      <w:lang w:val="en-US"/>
    </w:rPr>
  </w:style>
  <w:style w:type="paragraph" w:styleId="CommentSubject">
    <w:name w:val="annotation subject"/>
    <w:basedOn w:val="CommentText"/>
    <w:next w:val="CommentText"/>
    <w:link w:val="CommentSubjectChar"/>
    <w:uiPriority w:val="99"/>
    <w:semiHidden/>
    <w:unhideWhenUsed/>
    <w:rsid w:val="00805571"/>
    <w:rPr>
      <w:b/>
      <w:bCs/>
    </w:rPr>
  </w:style>
  <w:style w:type="character" w:customStyle="1" w:styleId="CommentSubjectChar">
    <w:name w:val="Comment Subject Char"/>
    <w:link w:val="CommentSubject"/>
    <w:uiPriority w:val="99"/>
    <w:semiHidden/>
    <w:rsid w:val="00805571"/>
    <w:rPr>
      <w:rFonts w:ascii="CG Times" w:hAnsi="CG Times"/>
      <w:b/>
      <w:bCs/>
      <w:lang w:val="en-US"/>
    </w:rPr>
  </w:style>
  <w:style w:type="character" w:styleId="FollowedHyperlink">
    <w:name w:val="FollowedHyperlink"/>
    <w:uiPriority w:val="99"/>
    <w:semiHidden/>
    <w:unhideWhenUsed/>
    <w:rsid w:val="00CD491B"/>
    <w:rPr>
      <w:color w:val="800080"/>
      <w:u w:val="single"/>
    </w:rPr>
  </w:style>
  <w:style w:type="paragraph" w:styleId="ListParagraph">
    <w:name w:val="List Paragraph"/>
    <w:basedOn w:val="Normal"/>
    <w:uiPriority w:val="34"/>
    <w:qFormat/>
    <w:rsid w:val="00354A3B"/>
    <w:pPr>
      <w:numPr>
        <w:numId w:val="37"/>
      </w:numPr>
      <w:spacing w:line="264" w:lineRule="auto"/>
    </w:pPr>
    <w:rPr>
      <w:rFonts w:asciiTheme="minorHAnsi" w:eastAsiaTheme="minorHAnsi" w:hAnsiTheme="minorHAnsi" w:cstheme="minorHAnsi"/>
    </w:rPr>
  </w:style>
  <w:style w:type="character" w:customStyle="1" w:styleId="Heading1Char">
    <w:name w:val="Heading 1 Char"/>
    <w:basedOn w:val="DefaultParagraphFont"/>
    <w:link w:val="Heading1"/>
    <w:uiPriority w:val="9"/>
    <w:rsid w:val="00C73404"/>
    <w:rPr>
      <w:rFonts w:asciiTheme="majorHAnsi" w:hAnsiTheme="majorHAnsi" w:cstheme="majorHAnsi"/>
      <w:noProof/>
      <w:color w:val="1B1650"/>
      <w:sz w:val="56"/>
      <w:szCs w:val="56"/>
      <w:lang w:eastAsia="en-GB"/>
    </w:rPr>
  </w:style>
  <w:style w:type="character" w:customStyle="1" w:styleId="Heading2Char">
    <w:name w:val="Heading 2 Char"/>
    <w:basedOn w:val="DefaultParagraphFont"/>
    <w:link w:val="Heading2"/>
    <w:uiPriority w:val="9"/>
    <w:rsid w:val="006269CA"/>
    <w:rPr>
      <w:rFonts w:cstheme="minorHAnsi"/>
      <w:color w:val="1B1650"/>
      <w:sz w:val="40"/>
      <w:szCs w:val="40"/>
      <w:lang w:eastAsia="en-GB"/>
    </w:rPr>
  </w:style>
  <w:style w:type="character" w:customStyle="1" w:styleId="Heading3Char">
    <w:name w:val="Heading 3 Char"/>
    <w:basedOn w:val="DefaultParagraphFont"/>
    <w:link w:val="Heading3"/>
    <w:uiPriority w:val="9"/>
    <w:semiHidden/>
    <w:rsid w:val="00127D3E"/>
    <w:rPr>
      <w:rFonts w:ascii="Alwyn" w:hAnsi="Alwyn" w:cs="Times"/>
      <w:color w:val="6BAD47" w:themeColor="text2"/>
      <w:sz w:val="32"/>
      <w:szCs w:val="32"/>
      <w:lang w:eastAsia="en-GB"/>
    </w:rPr>
  </w:style>
  <w:style w:type="character" w:customStyle="1" w:styleId="Heading4Char">
    <w:name w:val="Heading 4 Char"/>
    <w:basedOn w:val="DefaultParagraphFont"/>
    <w:link w:val="Heading4"/>
    <w:uiPriority w:val="9"/>
    <w:semiHidden/>
    <w:rsid w:val="00127D3E"/>
    <w:rPr>
      <w:rFonts w:cstheme="minorHAnsi"/>
      <w:b/>
      <w:color w:val="636363" w:themeColor="accent6"/>
    </w:rPr>
  </w:style>
  <w:style w:type="character" w:customStyle="1" w:styleId="Heading5Char">
    <w:name w:val="Heading 5 Char"/>
    <w:basedOn w:val="DefaultParagraphFont"/>
    <w:link w:val="Heading5"/>
    <w:uiPriority w:val="9"/>
    <w:semiHidden/>
    <w:rsid w:val="00127D3E"/>
    <w:rPr>
      <w:rFonts w:asciiTheme="majorHAnsi" w:eastAsiaTheme="majorEastAsia" w:hAnsiTheme="majorHAnsi" w:cstheme="majorBidi"/>
      <w:color w:val="073C5A" w:themeColor="accent1" w:themeShade="7F"/>
    </w:rPr>
  </w:style>
  <w:style w:type="character" w:customStyle="1" w:styleId="Heading6Char">
    <w:name w:val="Heading 6 Char"/>
    <w:basedOn w:val="DefaultParagraphFont"/>
    <w:link w:val="Heading6"/>
    <w:uiPriority w:val="9"/>
    <w:semiHidden/>
    <w:rsid w:val="00127D3E"/>
    <w:rPr>
      <w:rFonts w:asciiTheme="majorHAnsi" w:eastAsiaTheme="majorEastAsia" w:hAnsiTheme="majorHAnsi" w:cstheme="majorBidi"/>
      <w:i/>
      <w:iCs/>
      <w:color w:val="073C5A" w:themeColor="accent1" w:themeShade="7F"/>
    </w:rPr>
  </w:style>
  <w:style w:type="character" w:customStyle="1" w:styleId="Heading7Char">
    <w:name w:val="Heading 7 Char"/>
    <w:basedOn w:val="DefaultParagraphFont"/>
    <w:link w:val="Heading7"/>
    <w:uiPriority w:val="9"/>
    <w:semiHidden/>
    <w:rsid w:val="00127D3E"/>
    <w:rPr>
      <w:rFonts w:asciiTheme="majorHAnsi" w:eastAsiaTheme="majorEastAsia" w:hAnsiTheme="majorHAnsi" w:cstheme="majorBidi"/>
      <w:i/>
      <w:iCs/>
      <w:color w:val="8A8A8A" w:themeColor="text1" w:themeTint="BF"/>
    </w:rPr>
  </w:style>
  <w:style w:type="character" w:customStyle="1" w:styleId="Heading8Char">
    <w:name w:val="Heading 8 Char"/>
    <w:basedOn w:val="DefaultParagraphFont"/>
    <w:link w:val="Heading8"/>
    <w:uiPriority w:val="9"/>
    <w:semiHidden/>
    <w:rsid w:val="00127D3E"/>
    <w:rPr>
      <w:rFonts w:asciiTheme="majorHAnsi" w:eastAsiaTheme="majorEastAsia" w:hAnsiTheme="majorHAnsi" w:cstheme="majorBidi"/>
      <w:color w:val="8A8A8A" w:themeColor="text1" w:themeTint="BF"/>
      <w:sz w:val="20"/>
      <w:szCs w:val="20"/>
    </w:rPr>
  </w:style>
  <w:style w:type="character" w:customStyle="1" w:styleId="Heading9Char">
    <w:name w:val="Heading 9 Char"/>
    <w:basedOn w:val="DefaultParagraphFont"/>
    <w:link w:val="Heading9"/>
    <w:uiPriority w:val="9"/>
    <w:semiHidden/>
    <w:rsid w:val="00127D3E"/>
    <w:rPr>
      <w:rFonts w:asciiTheme="majorHAnsi" w:eastAsiaTheme="majorEastAsia" w:hAnsiTheme="majorHAnsi" w:cstheme="majorBidi"/>
      <w:i/>
      <w:iCs/>
      <w:color w:val="8A8A8A" w:themeColor="text1" w:themeTint="BF"/>
      <w:sz w:val="20"/>
      <w:szCs w:val="20"/>
    </w:rPr>
  </w:style>
  <w:style w:type="paragraph" w:styleId="Caption">
    <w:name w:val="caption"/>
    <w:basedOn w:val="Normal"/>
    <w:next w:val="Normal"/>
    <w:uiPriority w:val="35"/>
    <w:semiHidden/>
    <w:unhideWhenUsed/>
    <w:qFormat/>
    <w:rsid w:val="00127D3E"/>
    <w:pPr>
      <w:spacing w:after="200"/>
    </w:pPr>
    <w:rPr>
      <w:b/>
      <w:bCs/>
      <w:color w:val="0F7BB6" w:themeColor="accent1"/>
      <w:sz w:val="18"/>
      <w:szCs w:val="18"/>
    </w:rPr>
  </w:style>
  <w:style w:type="paragraph" w:styleId="Subtitle">
    <w:name w:val="Subtitle"/>
    <w:basedOn w:val="Normal"/>
    <w:next w:val="Normal"/>
    <w:link w:val="SubtitleChar"/>
    <w:uiPriority w:val="11"/>
    <w:qFormat/>
    <w:rsid w:val="00127D3E"/>
    <w:pPr>
      <w:numPr>
        <w:ilvl w:val="1"/>
      </w:numPr>
    </w:pPr>
    <w:rPr>
      <w:rFonts w:asciiTheme="majorHAnsi" w:eastAsiaTheme="majorEastAsia" w:hAnsiTheme="majorHAnsi" w:cstheme="majorBidi"/>
      <w:i/>
      <w:iCs/>
      <w:color w:val="0F7BB6" w:themeColor="accent1"/>
      <w:spacing w:val="15"/>
      <w:lang w:eastAsia="en-US"/>
    </w:rPr>
  </w:style>
  <w:style w:type="character" w:customStyle="1" w:styleId="SubtitleChar">
    <w:name w:val="Subtitle Char"/>
    <w:basedOn w:val="DefaultParagraphFont"/>
    <w:link w:val="Subtitle"/>
    <w:uiPriority w:val="11"/>
    <w:rsid w:val="00127D3E"/>
    <w:rPr>
      <w:rFonts w:asciiTheme="majorHAnsi" w:eastAsiaTheme="majorEastAsia" w:hAnsiTheme="majorHAnsi" w:cstheme="majorBidi"/>
      <w:i/>
      <w:iCs/>
      <w:color w:val="0F7BB6" w:themeColor="accent1"/>
      <w:spacing w:val="15"/>
    </w:rPr>
  </w:style>
  <w:style w:type="character" w:styleId="Strong">
    <w:name w:val="Strong"/>
    <w:uiPriority w:val="22"/>
    <w:qFormat/>
    <w:rsid w:val="00127D3E"/>
    <w:rPr>
      <w:b/>
      <w:bCs/>
    </w:rPr>
  </w:style>
  <w:style w:type="character" w:styleId="Emphasis">
    <w:name w:val="Emphasis"/>
    <w:uiPriority w:val="20"/>
    <w:qFormat/>
    <w:rsid w:val="00127D3E"/>
    <w:rPr>
      <w:i/>
      <w:iCs/>
    </w:rPr>
  </w:style>
  <w:style w:type="paragraph" w:styleId="NoSpacing">
    <w:name w:val="No Spacing"/>
    <w:basedOn w:val="Normal"/>
    <w:uiPriority w:val="1"/>
    <w:qFormat/>
    <w:rsid w:val="00127D3E"/>
  </w:style>
  <w:style w:type="paragraph" w:styleId="Quote">
    <w:name w:val="Quote"/>
    <w:basedOn w:val="Normal"/>
    <w:next w:val="Normal"/>
    <w:link w:val="QuoteChar"/>
    <w:uiPriority w:val="29"/>
    <w:qFormat/>
    <w:rsid w:val="00127D3E"/>
    <w:rPr>
      <w:rFonts w:asciiTheme="minorHAnsi" w:hAnsiTheme="minorHAnsi" w:cstheme="minorBidi"/>
      <w:i/>
      <w:iCs/>
      <w:color w:val="636363" w:themeColor="text1"/>
      <w:lang w:eastAsia="en-US"/>
    </w:rPr>
  </w:style>
  <w:style w:type="character" w:customStyle="1" w:styleId="QuoteChar">
    <w:name w:val="Quote Char"/>
    <w:basedOn w:val="DefaultParagraphFont"/>
    <w:link w:val="Quote"/>
    <w:uiPriority w:val="29"/>
    <w:rsid w:val="00127D3E"/>
    <w:rPr>
      <w:i/>
      <w:iCs/>
      <w:color w:val="636363" w:themeColor="text1"/>
    </w:rPr>
  </w:style>
  <w:style w:type="paragraph" w:styleId="IntenseQuote">
    <w:name w:val="Intense Quote"/>
    <w:basedOn w:val="Normal"/>
    <w:next w:val="Normal"/>
    <w:link w:val="IntenseQuoteChar"/>
    <w:uiPriority w:val="30"/>
    <w:qFormat/>
    <w:rsid w:val="00127D3E"/>
    <w:pPr>
      <w:pBdr>
        <w:bottom w:val="single" w:sz="4" w:space="4" w:color="0F7BB6" w:themeColor="accent1"/>
      </w:pBdr>
      <w:spacing w:before="200" w:after="280"/>
      <w:ind w:left="936" w:right="936"/>
    </w:pPr>
    <w:rPr>
      <w:rFonts w:asciiTheme="minorHAnsi" w:hAnsiTheme="minorHAnsi" w:cstheme="minorBidi"/>
      <w:b/>
      <w:bCs/>
      <w:i/>
      <w:iCs/>
      <w:color w:val="0F7BB6" w:themeColor="accent1"/>
      <w:lang w:eastAsia="en-US"/>
    </w:rPr>
  </w:style>
  <w:style w:type="character" w:customStyle="1" w:styleId="IntenseQuoteChar">
    <w:name w:val="Intense Quote Char"/>
    <w:basedOn w:val="DefaultParagraphFont"/>
    <w:link w:val="IntenseQuote"/>
    <w:uiPriority w:val="30"/>
    <w:rsid w:val="00127D3E"/>
    <w:rPr>
      <w:b/>
      <w:bCs/>
      <w:i/>
      <w:iCs/>
      <w:color w:val="0F7BB6" w:themeColor="accent1"/>
    </w:rPr>
  </w:style>
  <w:style w:type="character" w:styleId="SubtleEmphasis">
    <w:name w:val="Subtle Emphasis"/>
    <w:uiPriority w:val="19"/>
    <w:qFormat/>
    <w:rsid w:val="00127D3E"/>
    <w:rPr>
      <w:i/>
      <w:iCs/>
      <w:color w:val="B1B1B1" w:themeColor="text1" w:themeTint="7F"/>
    </w:rPr>
  </w:style>
  <w:style w:type="character" w:styleId="IntenseEmphasis">
    <w:name w:val="Intense Emphasis"/>
    <w:uiPriority w:val="21"/>
    <w:qFormat/>
    <w:rsid w:val="00127D3E"/>
    <w:rPr>
      <w:b/>
      <w:bCs/>
      <w:i/>
      <w:iCs/>
      <w:color w:val="0F7BB6" w:themeColor="accent1"/>
    </w:rPr>
  </w:style>
  <w:style w:type="character" w:styleId="SubtleReference">
    <w:name w:val="Subtle Reference"/>
    <w:uiPriority w:val="31"/>
    <w:qFormat/>
    <w:rsid w:val="00127D3E"/>
    <w:rPr>
      <w:smallCaps/>
      <w:color w:val="E44F84" w:themeColor="accent2"/>
      <w:u w:val="single"/>
    </w:rPr>
  </w:style>
  <w:style w:type="character" w:styleId="IntenseReference">
    <w:name w:val="Intense Reference"/>
    <w:uiPriority w:val="32"/>
    <w:qFormat/>
    <w:rsid w:val="00127D3E"/>
    <w:rPr>
      <w:b/>
      <w:bCs/>
      <w:smallCaps/>
      <w:color w:val="E44F84" w:themeColor="accent2"/>
      <w:spacing w:val="5"/>
      <w:u w:val="single"/>
    </w:rPr>
  </w:style>
  <w:style w:type="character" w:styleId="BookTitle">
    <w:name w:val="Book Title"/>
    <w:uiPriority w:val="33"/>
    <w:qFormat/>
    <w:rsid w:val="00127D3E"/>
    <w:rPr>
      <w:b/>
      <w:bCs/>
      <w:smallCaps/>
      <w:spacing w:val="5"/>
    </w:rPr>
  </w:style>
  <w:style w:type="paragraph" w:styleId="TOCHeading">
    <w:name w:val="TOC Heading"/>
    <w:basedOn w:val="Heading1"/>
    <w:next w:val="Normal"/>
    <w:uiPriority w:val="39"/>
    <w:unhideWhenUsed/>
    <w:qFormat/>
    <w:rsid w:val="00127D3E"/>
    <w:pPr>
      <w:keepNext/>
      <w:keepLines/>
      <w:spacing w:before="480"/>
      <w:outlineLvl w:val="9"/>
    </w:pPr>
    <w:rPr>
      <w:rFonts w:eastAsiaTheme="majorEastAsia" w:cstheme="majorBidi"/>
      <w:b/>
      <w:bCs/>
      <w:noProof w:val="0"/>
      <w:color w:val="0B5B88" w:themeColor="accent1" w:themeShade="BF"/>
      <w:sz w:val="28"/>
      <w:szCs w:val="28"/>
      <w:lang w:val="en-US" w:eastAsia="en-US"/>
    </w:rPr>
  </w:style>
  <w:style w:type="table" w:styleId="TableGrid">
    <w:name w:val="Table Grid"/>
    <w:basedOn w:val="TableNormal"/>
    <w:uiPriority w:val="59"/>
    <w:rsid w:val="00127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00A5"/>
    <w:pPr>
      <w:spacing w:before="100" w:beforeAutospacing="1" w:line="240" w:lineRule="auto"/>
    </w:pPr>
    <w:rPr>
      <w:rFonts w:ascii="Times New Roman" w:hAnsi="Times New Roman" w:cs="Times New Roman"/>
      <w:color w:val="auto"/>
      <w:lang w:val="en-US" w:eastAsia="en-US"/>
    </w:rPr>
  </w:style>
  <w:style w:type="paragraph" w:styleId="TOC1">
    <w:name w:val="toc 1"/>
    <w:basedOn w:val="Normal"/>
    <w:next w:val="Normal"/>
    <w:autoRedefine/>
    <w:uiPriority w:val="39"/>
    <w:unhideWhenUsed/>
    <w:rsid w:val="00D14A81"/>
    <w:pPr>
      <w:spacing w:after="0"/>
    </w:pPr>
    <w:rPr>
      <w:rFonts w:asciiTheme="minorHAnsi" w:hAnsiTheme="minorHAnsi" w:cstheme="minorHAnsi"/>
      <w:b/>
      <w:bCs/>
      <w:i/>
      <w:iCs/>
      <w:sz w:val="24"/>
    </w:rPr>
  </w:style>
  <w:style w:type="paragraph" w:styleId="TOC2">
    <w:name w:val="toc 2"/>
    <w:basedOn w:val="Normal"/>
    <w:next w:val="Normal"/>
    <w:autoRedefine/>
    <w:uiPriority w:val="39"/>
    <w:unhideWhenUsed/>
    <w:rsid w:val="00D14A81"/>
    <w:pPr>
      <w:spacing w:after="0"/>
      <w:ind w:left="220"/>
    </w:pPr>
    <w:rPr>
      <w:rFonts w:asciiTheme="minorHAnsi" w:hAnsiTheme="minorHAnsi" w:cstheme="minorHAnsi"/>
      <w:b/>
      <w:bCs/>
      <w:szCs w:val="22"/>
    </w:rPr>
  </w:style>
  <w:style w:type="paragraph" w:styleId="TOC3">
    <w:name w:val="toc 3"/>
    <w:basedOn w:val="Normal"/>
    <w:next w:val="Normal"/>
    <w:autoRedefine/>
    <w:uiPriority w:val="39"/>
    <w:semiHidden/>
    <w:unhideWhenUsed/>
    <w:rsid w:val="00D14A81"/>
    <w:pPr>
      <w:spacing w:before="0"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14A81"/>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14A81"/>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14A81"/>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14A81"/>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14A81"/>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14A81"/>
    <w:pPr>
      <w:spacing w:before="0" w:after="0"/>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560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3433">
      <w:bodyDiv w:val="1"/>
      <w:marLeft w:val="0"/>
      <w:marRight w:val="0"/>
      <w:marTop w:val="0"/>
      <w:marBottom w:val="0"/>
      <w:divBdr>
        <w:top w:val="none" w:sz="0" w:space="0" w:color="auto"/>
        <w:left w:val="none" w:sz="0" w:space="0" w:color="auto"/>
        <w:bottom w:val="none" w:sz="0" w:space="0" w:color="auto"/>
        <w:right w:val="none" w:sz="0" w:space="0" w:color="auto"/>
      </w:divBdr>
    </w:div>
    <w:div w:id="750930944">
      <w:bodyDiv w:val="1"/>
      <w:marLeft w:val="0"/>
      <w:marRight w:val="0"/>
      <w:marTop w:val="0"/>
      <w:marBottom w:val="0"/>
      <w:divBdr>
        <w:top w:val="none" w:sz="0" w:space="0" w:color="auto"/>
        <w:left w:val="none" w:sz="0" w:space="0" w:color="auto"/>
        <w:bottom w:val="none" w:sz="0" w:space="0" w:color="auto"/>
        <w:right w:val="none" w:sz="0" w:space="0" w:color="auto"/>
      </w:divBdr>
      <w:divsChild>
        <w:div w:id="1225263880">
          <w:marLeft w:val="0"/>
          <w:marRight w:val="0"/>
          <w:marTop w:val="0"/>
          <w:marBottom w:val="0"/>
          <w:divBdr>
            <w:top w:val="none" w:sz="0" w:space="0" w:color="auto"/>
            <w:left w:val="none" w:sz="0" w:space="0" w:color="auto"/>
            <w:bottom w:val="none" w:sz="0" w:space="0" w:color="auto"/>
            <w:right w:val="none" w:sz="0" w:space="0" w:color="auto"/>
          </w:divBdr>
          <w:divsChild>
            <w:div w:id="4766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7148">
      <w:bodyDiv w:val="1"/>
      <w:marLeft w:val="0"/>
      <w:marRight w:val="0"/>
      <w:marTop w:val="0"/>
      <w:marBottom w:val="0"/>
      <w:divBdr>
        <w:top w:val="none" w:sz="0" w:space="0" w:color="auto"/>
        <w:left w:val="none" w:sz="0" w:space="0" w:color="auto"/>
        <w:bottom w:val="none" w:sz="0" w:space="0" w:color="auto"/>
        <w:right w:val="none" w:sz="0" w:space="0" w:color="auto"/>
      </w:divBdr>
      <w:divsChild>
        <w:div w:id="1180122765">
          <w:marLeft w:val="0"/>
          <w:marRight w:val="0"/>
          <w:marTop w:val="0"/>
          <w:marBottom w:val="0"/>
          <w:divBdr>
            <w:top w:val="none" w:sz="0" w:space="0" w:color="auto"/>
            <w:left w:val="none" w:sz="0" w:space="0" w:color="auto"/>
            <w:bottom w:val="none" w:sz="0" w:space="0" w:color="auto"/>
            <w:right w:val="none" w:sz="0" w:space="0" w:color="auto"/>
          </w:divBdr>
          <w:divsChild>
            <w:div w:id="17942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8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pam">
  <a:themeElements>
    <a:clrScheme name="pam">
      <a:dk1>
        <a:srgbClr val="636363"/>
      </a:dk1>
      <a:lt1>
        <a:sysClr val="window" lastClr="FFFFFF"/>
      </a:lt1>
      <a:dk2>
        <a:srgbClr val="6BAD47"/>
      </a:dk2>
      <a:lt2>
        <a:srgbClr val="FFFFFF"/>
      </a:lt2>
      <a:accent1>
        <a:srgbClr val="0F7BB6"/>
      </a:accent1>
      <a:accent2>
        <a:srgbClr val="E44F84"/>
      </a:accent2>
      <a:accent3>
        <a:srgbClr val="894D95"/>
      </a:accent3>
      <a:accent4>
        <a:srgbClr val="F78B33"/>
      </a:accent4>
      <a:accent5>
        <a:srgbClr val="149A97"/>
      </a:accent5>
      <a:accent6>
        <a:srgbClr val="636363"/>
      </a:accent6>
      <a:hlink>
        <a:srgbClr val="0F7BB6"/>
      </a:hlink>
      <a:folHlink>
        <a:srgbClr val="0F7BB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E699A91DE364EBAFB3AE0EE6CF84A" ma:contentTypeVersion="7" ma:contentTypeDescription="Create a new document." ma:contentTypeScope="" ma:versionID="118de34e392200d1595a3a51c9b620ab">
  <xsd:schema xmlns:xsd="http://www.w3.org/2001/XMLSchema" xmlns:xs="http://www.w3.org/2001/XMLSchema" xmlns:p="http://schemas.microsoft.com/office/2006/metadata/properties" xmlns:ns3="232f0b8c-41b1-49cf-81dc-fff35864fdfd" xmlns:ns4="a9ca4422-7787-4e01-8990-677d3feab86b" targetNamespace="http://schemas.microsoft.com/office/2006/metadata/properties" ma:root="true" ma:fieldsID="688efeedc2483f7c10eb9b6ef054aff5" ns3:_="" ns4:_="">
    <xsd:import namespace="232f0b8c-41b1-49cf-81dc-fff35864fdfd"/>
    <xsd:import namespace="a9ca4422-7787-4e01-8990-677d3feab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f0b8c-41b1-49cf-81dc-fff35864f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ca4422-7787-4e01-8990-677d3feab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6C038-1094-4800-8B2C-24FF9A212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f0b8c-41b1-49cf-81dc-fff35864fdfd"/>
    <ds:schemaRef ds:uri="a9ca4422-7787-4e01-8990-677d3feab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1BB0D-E518-4C9F-A055-F5F6F67CC0C4}">
  <ds:schemaRefs>
    <ds:schemaRef ds:uri="http://schemas.microsoft.com/sharepoint/v3/contenttype/forms"/>
  </ds:schemaRefs>
</ds:datastoreItem>
</file>

<file path=customXml/itemProps3.xml><?xml version="1.0" encoding="utf-8"?>
<ds:datastoreItem xmlns:ds="http://schemas.openxmlformats.org/officeDocument/2006/customXml" ds:itemID="{0D22C8B2-F1E8-4B92-B4F9-81218DCC2F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1F17B4-CC61-114D-8D75-B1248EA7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InfoBasis</Company>
  <LinksUpToDate>false</LinksUpToDate>
  <CharactersWithSpaces>16099</CharactersWithSpaces>
  <SharedDoc>false</SharedDoc>
  <HLinks>
    <vt:vector size="24" baseType="variant">
      <vt:variant>
        <vt:i4>4980827</vt:i4>
      </vt:variant>
      <vt:variant>
        <vt:i4>9</vt:i4>
      </vt:variant>
      <vt:variant>
        <vt:i4>0</vt:i4>
      </vt:variant>
      <vt:variant>
        <vt:i4>5</vt:i4>
      </vt:variant>
      <vt:variant>
        <vt:lpwstr>https://pam.alliantist.com/tools/legislative_risk_manager/2447</vt:lpwstr>
      </vt:variant>
      <vt:variant>
        <vt:lpwstr/>
      </vt:variant>
      <vt:variant>
        <vt:i4>7340075</vt:i4>
      </vt:variant>
      <vt:variant>
        <vt:i4>6</vt:i4>
      </vt:variant>
      <vt:variant>
        <vt:i4>0</vt:i4>
      </vt:variant>
      <vt:variant>
        <vt:i4>5</vt:i4>
      </vt:variant>
      <vt:variant>
        <vt:lpwstr>https://pam.alliantist.com/tools/asset_security_risk_manager/2371</vt:lpwstr>
      </vt:variant>
      <vt:variant>
        <vt:lpwstr/>
      </vt:variant>
      <vt:variant>
        <vt:i4>7340075</vt:i4>
      </vt:variant>
      <vt:variant>
        <vt:i4>3</vt:i4>
      </vt:variant>
      <vt:variant>
        <vt:i4>0</vt:i4>
      </vt:variant>
      <vt:variant>
        <vt:i4>5</vt:i4>
      </vt:variant>
      <vt:variant>
        <vt:lpwstr>https://pam.alliantist.com/tools/asset_security_risk_manager/2371</vt:lpwstr>
      </vt:variant>
      <vt:variant>
        <vt:lpwstr/>
      </vt:variant>
      <vt:variant>
        <vt:i4>1114193</vt:i4>
      </vt:variant>
      <vt:variant>
        <vt:i4>0</vt:i4>
      </vt:variant>
      <vt:variant>
        <vt:i4>0</vt:i4>
      </vt:variant>
      <vt:variant>
        <vt:i4>5</vt:i4>
      </vt:variant>
      <vt:variant>
        <vt:lpwstr>https://pam.alliantist.com/projects/7234/deliverables/206296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
  <dc:creator>Alan Calder</dc:creator>
  <cp:keywords/>
  <dc:description/>
  <cp:lastModifiedBy>Sam Peters</cp:lastModifiedBy>
  <cp:revision>2</cp:revision>
  <dcterms:created xsi:type="dcterms:W3CDTF">2022-01-27T21:15:00Z</dcterms:created>
  <dcterms:modified xsi:type="dcterms:W3CDTF">2022-01-27T21:15:00Z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0x010100CDCE699A91DE364EBAFB3AE0EE6CF84A</vt:lpwstr>
  </property>
</Properties>
</file>