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6A64" w14:textId="77777777" w:rsidR="002A225C" w:rsidRDefault="00000000">
      <w:pPr>
        <w:pStyle w:val="Ttulo1"/>
      </w:pPr>
      <w:r>
        <w:t>Relatório da Etapa 5 — Validação Normativa do Modelo de Apartamentos (ITIV)</w:t>
      </w:r>
    </w:p>
    <w:p w14:paraId="4B2976BD" w14:textId="77777777" w:rsidR="002A225C" w:rsidRDefault="00000000">
      <w:pPr>
        <w:spacing w:after="120"/>
      </w:pPr>
      <w:r>
        <w:rPr>
          <w:i/>
          <w:iCs/>
        </w:rPr>
        <w:t>Coordenadoria de Inteligência Fiscal — SEFAZ Salvador</w:t>
      </w:r>
    </w:p>
    <w:p w14:paraId="10BD0688" w14:textId="77777777" w:rsidR="002A225C" w:rsidRDefault="00000000">
      <w:pPr>
        <w:spacing w:after="120"/>
      </w:pPr>
      <w:r>
        <w:t>Data: 14/07/2026</w:t>
      </w:r>
    </w:p>
    <w:p w14:paraId="3EB04907" w14:textId="77777777" w:rsidR="002A225C" w:rsidRDefault="00000000" w:rsidP="00FB4E32">
      <w:pPr>
        <w:spacing w:after="120"/>
        <w:jc w:val="both"/>
      </w:pPr>
      <w:r>
        <w:t xml:space="preserve">Complementa: Relatorio_Etapa4_Treino_Modelo_Apartamentos_20260714.docx e REGISTRO_ETAPAS_APROVACAO.md. Normas de referência: ABNT NBR 14653-1:2019, ABNT NBR 14653-2:2011, Norma IBAPE/SOBREA de Avaliação em Massa para Fins Tributários (2023) e IAAO Standard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14:paraId="0BEE5F2C" w14:textId="77777777" w:rsidR="002A225C" w:rsidRDefault="00000000">
      <w:pPr>
        <w:pStyle w:val="Ttulo1"/>
      </w:pPr>
      <w:r>
        <w:t>1. Objetivo e enquadramento dos dois modelos</w:t>
      </w:r>
    </w:p>
    <w:p w14:paraId="52C5D55A" w14:textId="77777777" w:rsidR="002A225C" w:rsidRDefault="00000000" w:rsidP="00FB4E32">
      <w:pPr>
        <w:spacing w:after="120"/>
        <w:jc w:val="both"/>
      </w:pPr>
      <w:r>
        <w:t>Este documento reporta a validação normativa completa do modelo de apartamentos treinado em 14/07/2026 (Etapa 4). O enquadramento normativo dos dois modelos é distinto:</w:t>
      </w:r>
    </w:p>
    <w:p w14:paraId="0A96CAA5" w14:textId="77777777" w:rsidR="002A225C" w:rsidRDefault="00000000" w:rsidP="00FB4E32">
      <w:pPr>
        <w:spacing w:after="120"/>
        <w:jc w:val="both"/>
      </w:pPr>
      <w:r>
        <w:t xml:space="preserve">• LightGBM (modelo de avaliação): a Norma IBAPE/SOBREA 2023, itens 8.1.2 e 8.1.2.1, admite técnicas de aprendizado de máquina desde que justificadas do ponto de vista teórico e prático e submetidas a validação, e estabelece que tais modelos não são objeto de especificação em graus. A justificativa está documentada (vencedor do </w:t>
      </w:r>
      <w:proofErr w:type="spellStart"/>
      <w:r>
        <w:t>GridSearch</w:t>
      </w:r>
      <w:proofErr w:type="spellEnd"/>
      <w:r>
        <w:t xml:space="preserve"> entre cinco famílias de modelos, Etapa 4) e a validação foi realizada por validação cruzada k=10 e teste final nunca usado no treino, conforme IBAPE 7.8.4 (divisão em três amostras para métodos não paramétricos).</w:t>
      </w:r>
    </w:p>
    <w:p w14:paraId="55E8D376" w14:textId="77777777" w:rsidR="002A225C" w:rsidRDefault="00000000" w:rsidP="00FB4E32">
      <w:pPr>
        <w:spacing w:after="120"/>
        <w:jc w:val="both"/>
      </w:pPr>
      <w:r>
        <w:t>• Hedônico (âncora normativa): especificado conforme a seção 9 da NBR 14653-2 (Tabelas 1, 2 e 5), com verificação dos pressupostos do Anexo A. Os resultados estão nas seções 2 e 3.</w:t>
      </w:r>
    </w:p>
    <w:p w14:paraId="6005468F" w14:textId="77777777" w:rsidR="002A225C" w:rsidRDefault="00000000">
      <w:pPr>
        <w:pStyle w:val="Ttulo1"/>
      </w:pPr>
      <w:r>
        <w:t>2. Pressupostos do modelo hedônico (NBR 14653-2, Anexo A)</w:t>
      </w:r>
    </w:p>
    <w:p w14:paraId="4570BCFB" w14:textId="77777777" w:rsidR="002A225C" w:rsidRDefault="00000000" w:rsidP="00FB4E32">
      <w:pPr>
        <w:spacing w:after="120"/>
        <w:jc w:val="both"/>
      </w:pPr>
      <w:r>
        <w:t>Agrupamento de setores fiscais com poucos dados (decisão da equipe, 14/07/2026): setores 177→175 e 179→162, únicos pares que atenderam ao critério combinado de distância ≤ 1 km e diferença de preço/m² ≤ 20% em relação a um setor vizinho com dados suficientes (n≥10). Os demais 14 setores com poucos dados avaliados não atenderam ao critério (diferença de preço acima de 20% com o vizinho mais próximo, indicando heterogeneidade real entre bairros) e permanecem sem agrupamento forçado. O agrupamento foi aplicado somente à especificação do hedônico (variável usada no teste de significância da Tabela 1); o LightGBM não depende dele, pois já capta a localização real por meio do KNN geográfico (KNN_PROXY), contínuo e independente da fronteira do setor.</w:t>
      </w:r>
    </w:p>
    <w:p w14:paraId="110ECBA4" w14:textId="77777777" w:rsidR="002A225C" w:rsidRDefault="00000000" w:rsidP="00FB4E32">
      <w:pPr>
        <w:spacing w:after="120"/>
        <w:jc w:val="both"/>
      </w:pPr>
      <w:r>
        <w:t xml:space="preserve">Modelo </w:t>
      </w:r>
      <w:proofErr w:type="spellStart"/>
      <w:proofErr w:type="gramStart"/>
      <w:r>
        <w:t>re-treinado</w:t>
      </w:r>
      <w:proofErr w:type="spellEnd"/>
      <w:proofErr w:type="gramEnd"/>
      <w:r>
        <w:t xml:space="preserve"> no pool de treino saneado: n = 37.093 transações e k = 107 variáveis independentes (5 contínuas + 102 </w:t>
      </w:r>
      <w:proofErr w:type="spellStart"/>
      <w:r>
        <w:t>dummies</w:t>
      </w:r>
      <w:proofErr w:type="spellEnd"/>
      <w:r>
        <w:t xml:space="preserve"> de setor fiscal, já com o agrupamento acima).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60"/>
      </w:tblGrid>
      <w:tr w:rsidR="002A225C" w14:paraId="6BD9B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71FFA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Pressuposto (Anexo A)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AC03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medido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DC209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</w:t>
            </w:r>
          </w:p>
        </w:tc>
      </w:tr>
      <w:tr w:rsidR="002A225C" w14:paraId="03F81F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F7CD" w14:textId="77777777" w:rsidR="002A225C" w:rsidRDefault="00000000">
            <w:proofErr w:type="spellStart"/>
            <w:r>
              <w:rPr>
                <w:sz w:val="20"/>
                <w:szCs w:val="20"/>
              </w:rPr>
              <w:t>Micronumerosidade</w:t>
            </w:r>
            <w:proofErr w:type="spellEnd"/>
            <w:r>
              <w:rPr>
                <w:sz w:val="20"/>
                <w:szCs w:val="20"/>
              </w:rPr>
              <w:t xml:space="preserve"> (A.2.a)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945AB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n = 37.093 ≥ 6(k+1) = 648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294EC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Atende com folga</w:t>
            </w:r>
          </w:p>
        </w:tc>
      </w:tr>
      <w:tr w:rsidR="002A225C" w14:paraId="33445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498E" w14:textId="77777777" w:rsidR="002A225C" w:rsidRDefault="00000000">
            <w:r>
              <w:rPr>
                <w:sz w:val="20"/>
                <w:szCs w:val="20"/>
              </w:rPr>
              <w:t>Dados por categoria (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≥ 10)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AD3F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14 setores (de 102) com menos de 10 dados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0981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Sinalizado — ver seção 6</w:t>
            </w:r>
          </w:p>
        </w:tc>
      </w:tr>
      <w:tr w:rsidR="002A225C" w14:paraId="47112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1262E" w14:textId="77777777" w:rsidR="002A225C" w:rsidRDefault="00000000">
            <w:r>
              <w:rPr>
                <w:sz w:val="20"/>
                <w:szCs w:val="20"/>
              </w:rPr>
              <w:t>Normalidade (A.2.1.2.c)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29743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Resíduos em ±1: 72,8% (ref. 68%) · ±1,64: 90,8% (ref. 90%) · ±1,96: 94,8% (ref. 95%)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1DC66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Atende pelo critério de frequências da norma</w:t>
            </w:r>
          </w:p>
        </w:tc>
      </w:tr>
      <w:tr w:rsidR="002A225C" w14:paraId="19136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FEF59" w14:textId="77777777" w:rsidR="002A225C" w:rsidRDefault="00000000">
            <w:proofErr w:type="spellStart"/>
            <w:r>
              <w:rPr>
                <w:sz w:val="20"/>
                <w:szCs w:val="20"/>
              </w:rPr>
              <w:lastRenderedPageBreak/>
              <w:t>Homocedasticidade</w:t>
            </w:r>
            <w:proofErr w:type="spellEnd"/>
            <w:r>
              <w:rPr>
                <w:sz w:val="20"/>
                <w:szCs w:val="20"/>
              </w:rPr>
              <w:t xml:space="preserve"> (A.2.1.3)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E1695" w14:textId="77777777" w:rsidR="002A225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Breusch-Pagan</w:t>
            </w:r>
            <w:proofErr w:type="spellEnd"/>
            <w:r>
              <w:rPr>
                <w:sz w:val="20"/>
                <w:szCs w:val="20"/>
              </w:rPr>
              <w:t xml:space="preserve"> significativo (p &lt; 0,01); análise gráfica na Figura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4FF50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Registrado — teste sensível ao n elevado; gráfico sem padrão grosseiro</w:t>
            </w:r>
          </w:p>
        </w:tc>
      </w:tr>
      <w:tr w:rsidR="002A225C" w14:paraId="0A3C0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3A3C3" w14:textId="77777777" w:rsidR="002A225C" w:rsidRDefault="00000000">
            <w:r>
              <w:rPr>
                <w:sz w:val="20"/>
                <w:szCs w:val="20"/>
              </w:rPr>
              <w:t>Autocorrelação (A.2.1.4)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1E99" w14:textId="77777777" w:rsidR="002A225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Durbin</w:t>
            </w:r>
            <w:proofErr w:type="spellEnd"/>
            <w:r>
              <w:rPr>
                <w:sz w:val="20"/>
                <w:szCs w:val="20"/>
              </w:rPr>
              <w:t>-Watson = 1,669 (ordenado pelos ajustados; referência ~2)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8943F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Próximo da referência</w:t>
            </w:r>
          </w:p>
        </w:tc>
      </w:tr>
      <w:tr w:rsidR="002A225C" w14:paraId="0D0001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67769" w14:textId="77777777" w:rsidR="002A225C" w:rsidRDefault="00000000">
            <w:proofErr w:type="spellStart"/>
            <w:r>
              <w:rPr>
                <w:sz w:val="20"/>
                <w:szCs w:val="20"/>
              </w:rPr>
              <w:t>Multicolinearidade</w:t>
            </w:r>
            <w:proofErr w:type="spellEnd"/>
            <w:r>
              <w:rPr>
                <w:sz w:val="20"/>
                <w:szCs w:val="20"/>
              </w:rPr>
              <w:t xml:space="preserve"> (A.2.1.5)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FBA94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VIF máximo das contínuas = 2,52; nenhum par com |r| &gt; 0,80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5ABE3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Atende</w:t>
            </w:r>
          </w:p>
        </w:tc>
      </w:tr>
      <w:tr w:rsidR="002A225C" w14:paraId="502B9A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663C4" w14:textId="77777777" w:rsidR="002A225C" w:rsidRDefault="00000000">
            <w:r>
              <w:rPr>
                <w:sz w:val="20"/>
                <w:szCs w:val="20"/>
              </w:rPr>
              <w:t xml:space="preserve">Pontos </w:t>
            </w:r>
            <w:proofErr w:type="spellStart"/>
            <w:r>
              <w:rPr>
                <w:sz w:val="20"/>
                <w:szCs w:val="20"/>
              </w:rPr>
              <w:t>influenciantes</w:t>
            </w:r>
            <w:proofErr w:type="spellEnd"/>
            <w:r>
              <w:rPr>
                <w:sz w:val="20"/>
                <w:szCs w:val="20"/>
              </w:rPr>
              <w:t xml:space="preserve"> (A.2.1.6)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E2EFF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Distância de Cook &gt; 1: 3 pontos (eram 4 antes do agrupamento de setores; caiu para 3 após 177→175); &gt; 4/n: 1.494 (4,0%)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A97B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Sinalizado — ver seção 6</w:t>
            </w:r>
          </w:p>
        </w:tc>
      </w:tr>
    </w:tbl>
    <w:p w14:paraId="33C160FA" w14:textId="77777777" w:rsidR="002A225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A1C7453" wp14:editId="10A77A0F">
            <wp:extent cx="5905500" cy="3314700"/>
            <wp:effectExtent l="0" t="0" r="0" b="0"/>
            <wp:docPr id="1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2D84" w14:textId="77777777" w:rsidR="002A225C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4024621" wp14:editId="664907B3">
            <wp:extent cx="5905500" cy="3314700"/>
            <wp:effectExtent l="0" t="0" r="0" b="0"/>
            <wp:docPr id="1645947351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A7F" w14:textId="77777777" w:rsidR="002A225C" w:rsidRDefault="00000000">
      <w:pPr>
        <w:pStyle w:val="Ttulo2"/>
      </w:pPr>
      <w:r>
        <w:t>2.1 Significância (testes t e F)</w:t>
      </w:r>
    </w:p>
    <w:p w14:paraId="6F332728" w14:textId="77777777" w:rsidR="002A225C" w:rsidRDefault="00000000" w:rsidP="00B70958">
      <w:pPr>
        <w:spacing w:after="120"/>
        <w:jc w:val="both"/>
      </w:pPr>
      <w:r>
        <w:t>Teste F do modelo: F = 3.414,6, com significância inferior a 1% — atende ao Grau III do item 6 da Tabela 1. R² = 0,9081 e R² ajustado = 0,9078.</w:t>
      </w:r>
    </w:p>
    <w:p w14:paraId="18720E76" w14:textId="77777777" w:rsidR="002A225C" w:rsidRDefault="00000000" w:rsidP="00B70958">
      <w:pPr>
        <w:spacing w:after="120"/>
        <w:jc w:val="both"/>
      </w:pPr>
      <w:proofErr w:type="spellStart"/>
      <w:r>
        <w:t>Regressores</w:t>
      </w:r>
      <w:proofErr w:type="spellEnd"/>
      <w:r>
        <w:t xml:space="preserve"> individuais (teste t bicaudal): as variáveis contínuas do modelo são significativas a 10%, exceto ANDAR_UNIDADE (p = 10,6%, dentro do limite de 20% do Grau II). Das 107 variáveis, 24 </w:t>
      </w:r>
      <w:proofErr w:type="spellStart"/>
      <w:r>
        <w:t>dummies</w:t>
      </w:r>
      <w:proofErr w:type="spellEnd"/>
      <w:r>
        <w:t xml:space="preserve"> de setor fiscal apresentam p &gt; 30% individualmente — todas </w:t>
      </w:r>
      <w:proofErr w:type="spellStart"/>
      <w:r>
        <w:t>dummies</w:t>
      </w:r>
      <w:proofErr w:type="spellEnd"/>
      <w:r>
        <w:t xml:space="preserve"> de localização, nenhuma variável estrutural.</w:t>
      </w:r>
    </w:p>
    <w:p w14:paraId="6AA1921E" w14:textId="77777777" w:rsidR="002A225C" w:rsidRDefault="00000000" w:rsidP="00B70958">
      <w:pPr>
        <w:spacing w:after="120"/>
        <w:jc w:val="both"/>
      </w:pPr>
      <w:r>
        <w:rPr>
          <w:b/>
          <w:bCs/>
        </w:rPr>
        <w:t xml:space="preserve">Análise da variância por partes (A.3.2 da norma): o bloco completo de setores fiscais é conjuntamente significativo (F parcial = 542,9, p &lt; 0,01), e mesmo o subconjunto das 24 </w:t>
      </w:r>
      <w:proofErr w:type="spellStart"/>
      <w:r>
        <w:rPr>
          <w:b/>
          <w:bCs/>
        </w:rPr>
        <w:t>dummies</w:t>
      </w:r>
      <w:proofErr w:type="spellEnd"/>
      <w:r>
        <w:rPr>
          <w:b/>
          <w:bCs/>
        </w:rPr>
        <w:t xml:space="preserve"> individualmente não significativas é conjuntamente significativo (F parcial = 17,6, p &lt; 0,01). Ou seja, a localização por setor contribui de forma inequívoca para o modelo; as </w:t>
      </w:r>
      <w:proofErr w:type="spellStart"/>
      <w:r>
        <w:rPr>
          <w:b/>
          <w:bCs/>
        </w:rPr>
        <w:t>dummies</w:t>
      </w:r>
      <w:proofErr w:type="spellEnd"/>
      <w:r>
        <w:rPr>
          <w:b/>
          <w:bCs/>
        </w:rPr>
        <w:t xml:space="preserve"> individualmente fracas correspondem a setores com poucos dados, cuja significância individual o teste t não consegue medir com precisão.</w:t>
      </w:r>
    </w:p>
    <w:p w14:paraId="536F6D27" w14:textId="77777777" w:rsidR="002A225C" w:rsidRDefault="00000000">
      <w:pPr>
        <w:pStyle w:val="Ttulo1"/>
      </w:pPr>
      <w:r>
        <w:t>3. Especificação do hedônico (NBR 14653-2, seção 9)</w:t>
      </w:r>
    </w:p>
    <w:p w14:paraId="74BB4C5A" w14:textId="77777777" w:rsidR="002A225C" w:rsidRDefault="00000000">
      <w:pPr>
        <w:pStyle w:val="Ttulo2"/>
      </w:pPr>
      <w:r>
        <w:t>3.1 Grau de fundamentação (Tabela 1 da norma)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2900"/>
        <w:gridCol w:w="1200"/>
        <w:gridCol w:w="1060"/>
      </w:tblGrid>
      <w:tr w:rsidR="002A225C" w14:paraId="768E7E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1B12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45D7B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E64B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 medida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97DF9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Grau proposto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2922D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Pontos</w:t>
            </w:r>
          </w:p>
        </w:tc>
      </w:tr>
      <w:tr w:rsidR="002A225C" w14:paraId="6CD143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1B2F" w14:textId="77777777" w:rsidR="002A225C" w:rsidRDefault="00000000">
            <w:r>
              <w:rPr>
                <w:sz w:val="20"/>
                <w:szCs w:val="20"/>
              </w:rPr>
              <w:t>1. Caracterização do imóvel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8C931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Completa quanto às variáveis utilizadas no modelo (Grau II)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B44F3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Dados cadastrais completos para as variáveis do modelo; sem vistoria individual (inviável em avaliação em massa)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10A8D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E88C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A225C" w14:paraId="15F4A0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9611" w14:textId="77777777" w:rsidR="002A225C" w:rsidRDefault="00000000">
            <w:r>
              <w:rPr>
                <w:sz w:val="20"/>
                <w:szCs w:val="20"/>
              </w:rPr>
              <w:lastRenderedPageBreak/>
              <w:t>2. Quantidade mínima de dados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1E61D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6(k+1) = 660 para Grau III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BB80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37.093 transações efetivamente utilizadas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1CF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955B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2A225C" w14:paraId="441758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4E16" w14:textId="77777777" w:rsidR="002A225C" w:rsidRDefault="00000000">
            <w:r>
              <w:rPr>
                <w:sz w:val="20"/>
                <w:szCs w:val="20"/>
              </w:rPr>
              <w:t>3. Identificação dos dados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90F6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Informações de todos os dados e variáveis da modelagem (Grau II)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C079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Todos os dados identificados por inscrição imobiliária, data e valor (sem foto/vistoria)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BAD48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367F1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A225C" w14:paraId="7C0423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B8D0" w14:textId="77777777" w:rsidR="002A225C" w:rsidRDefault="00000000">
            <w:r>
              <w:rPr>
                <w:sz w:val="20"/>
                <w:szCs w:val="20"/>
              </w:rPr>
              <w:t>4. Extrapolação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DB9A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Não admitida (Grau III)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B8D3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Treino e teste dentro dos limites amostrais; em produção, monitorar IBAPE 8.1.1.1 (mín. 90% dos </w:t>
            </w:r>
            <w:proofErr w:type="spellStart"/>
            <w:r>
              <w:rPr>
                <w:sz w:val="20"/>
                <w:szCs w:val="20"/>
              </w:rPr>
              <w:t>avaliandos</w:t>
            </w:r>
            <w:proofErr w:type="spellEnd"/>
            <w:r>
              <w:rPr>
                <w:sz w:val="20"/>
                <w:szCs w:val="20"/>
              </w:rPr>
              <w:t xml:space="preserve"> sem extrapolação)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808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3417D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2A225C" w14:paraId="632606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EC03" w14:textId="77777777" w:rsidR="002A225C" w:rsidRDefault="00000000">
            <w:r>
              <w:rPr>
                <w:sz w:val="20"/>
                <w:szCs w:val="20"/>
              </w:rPr>
              <w:t xml:space="preserve">5. Significância de cada </w:t>
            </w:r>
            <w:proofErr w:type="spellStart"/>
            <w:r>
              <w:rPr>
                <w:sz w:val="20"/>
                <w:szCs w:val="20"/>
              </w:rPr>
              <w:t>regressor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D025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≤ 10% (III), ≤ 20% (II), ≤ 30% (I)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F6F83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Contínuas ≤ 20%; </w:t>
            </w:r>
            <w:proofErr w:type="spellStart"/>
            <w:r>
              <w:rPr>
                <w:sz w:val="20"/>
                <w:szCs w:val="20"/>
              </w:rPr>
              <w:t>dummies</w:t>
            </w:r>
            <w:proofErr w:type="spellEnd"/>
            <w:r>
              <w:rPr>
                <w:sz w:val="20"/>
                <w:szCs w:val="20"/>
              </w:rPr>
              <w:t xml:space="preserve"> de setor justificadas em bloco pela análise da variância por partes (A.3.2, p &lt; 0,01)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5DF83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C8639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A225C" w14:paraId="230D7E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AEBBE" w14:textId="77777777" w:rsidR="002A225C" w:rsidRDefault="00000000">
            <w:r>
              <w:rPr>
                <w:sz w:val="20"/>
                <w:szCs w:val="20"/>
              </w:rPr>
              <w:t>6. Significância do modelo (F)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A2BA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≤ 1% (Grau III)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9971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p &lt; 0,01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5CE7A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F13F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57BE1F80" w14:textId="77777777" w:rsidR="002A225C" w:rsidRDefault="00000000" w:rsidP="00B70958">
      <w:pPr>
        <w:spacing w:after="120"/>
        <w:jc w:val="both"/>
      </w:pPr>
      <w:r>
        <w:rPr>
          <w:b/>
          <w:bCs/>
        </w:rPr>
        <w:t>Soma: 15 pontos. Pela Tabela 2 da norma (Grau II: mínimo de 10 pontos, com os itens 2, 4, 5 e 6 no mínimo no Grau II), o modelo hedônico enquadra-se no GRAU II DE FUNDAMENTAÇÃO. O Grau III (16 pontos e itens obrigatórios no Grau III) ficou a um ponto, limitado pelo item 5 — ver na seção 6 a medida proposta (agrupamento de setores) capaz de elevar o enquadramento.</w:t>
      </w:r>
    </w:p>
    <w:p w14:paraId="33CB57A1" w14:textId="77777777" w:rsidR="002A225C" w:rsidRDefault="00000000" w:rsidP="00B70958">
      <w:pPr>
        <w:spacing w:after="120"/>
        <w:jc w:val="both"/>
      </w:pPr>
      <w:r>
        <w:rPr>
          <w:i/>
          <w:iCs/>
        </w:rPr>
        <w:t xml:space="preserve">Nota sobre o item 5: a pontuação proposta baseia-se no dispositivo A.3.2 da própria norma (significância de subconjuntos pela análise da variância por partes), aplicado ao bloco de </w:t>
      </w:r>
      <w:proofErr w:type="spellStart"/>
      <w:r>
        <w:rPr>
          <w:i/>
          <w:iCs/>
        </w:rPr>
        <w:t>dummies</w:t>
      </w:r>
      <w:proofErr w:type="spellEnd"/>
      <w:r>
        <w:rPr>
          <w:i/>
          <w:iCs/>
        </w:rPr>
        <w:t xml:space="preserve"> de setor. A leitura estrita, </w:t>
      </w:r>
      <w:proofErr w:type="spellStart"/>
      <w:r>
        <w:rPr>
          <w:i/>
          <w:iCs/>
        </w:rPr>
        <w:t>regressor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regressor</w:t>
      </w:r>
      <w:proofErr w:type="spellEnd"/>
      <w:r>
        <w:rPr>
          <w:i/>
          <w:iCs/>
        </w:rPr>
        <w:t xml:space="preserve">, não seria atendida pelas 24 </w:t>
      </w:r>
      <w:proofErr w:type="spellStart"/>
      <w:r>
        <w:rPr>
          <w:i/>
          <w:iCs/>
        </w:rPr>
        <w:t>dummies</w:t>
      </w:r>
      <w:proofErr w:type="spellEnd"/>
      <w:r>
        <w:rPr>
          <w:i/>
          <w:iCs/>
        </w:rPr>
        <w:t xml:space="preserve"> de setores com poucos dados. As duas leituras estão registradas para decisão da equipe.</w:t>
      </w:r>
    </w:p>
    <w:p w14:paraId="1AED8512" w14:textId="77777777" w:rsidR="002A225C" w:rsidRDefault="00000000">
      <w:pPr>
        <w:pStyle w:val="Ttulo2"/>
      </w:pPr>
      <w:r>
        <w:t>3.2 Grau de precisão (Tabela 5 da norma)</w:t>
      </w:r>
    </w:p>
    <w:p w14:paraId="2516C541" w14:textId="77777777" w:rsidR="002A225C" w:rsidRDefault="00000000" w:rsidP="00B70958">
      <w:pPr>
        <w:spacing w:after="120"/>
        <w:jc w:val="both"/>
      </w:pPr>
      <w:r>
        <w:rPr>
          <w:b/>
          <w:bCs/>
        </w:rPr>
        <w:t>Amplitude do intervalo de confiança de 80% em torno da estimativa de tendência central, medida no teste final: mediana de 2,05% (limite do Grau III: ≤ 30%). 95,4% dos imóveis do teste final têm amplitude dentro do limite do Grau III. Enquadramento: GRAU III DE PRECISÃO.</w:t>
      </w:r>
    </w:p>
    <w:p w14:paraId="759A0D8D" w14:textId="77777777" w:rsidR="002A225C" w:rsidRDefault="00000000">
      <w:pPr>
        <w:pStyle w:val="Ttulo2"/>
      </w:pPr>
      <w:r>
        <w:t>3.3 Especificação geral do trabalho (IBAPE/SOBREA 2023, Tabela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800"/>
        <w:gridCol w:w="1560"/>
      </w:tblGrid>
      <w:tr w:rsidR="002A225C" w14:paraId="74AE6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6CA3E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97547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 medida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0CF2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Grau</w:t>
            </w:r>
          </w:p>
        </w:tc>
      </w:tr>
      <w:tr w:rsidR="002A225C" w14:paraId="63429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5152F" w14:textId="77777777" w:rsidR="002A225C" w:rsidRDefault="00000000">
            <w:r>
              <w:rPr>
                <w:sz w:val="20"/>
                <w:szCs w:val="20"/>
              </w:rPr>
              <w:t>4. Contemporaneidade dos dados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9B7E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14,1% das transações da base de treino observadas nos últimos 12 meses (limite Grau II: ≥ 10%; Grau III: ≥ 20%)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C0E6F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</w:tr>
      <w:tr w:rsidR="002A225C" w14:paraId="69126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8E392" w14:textId="77777777" w:rsidR="002A225C" w:rsidRDefault="00000000">
            <w:r>
              <w:rPr>
                <w:sz w:val="20"/>
                <w:szCs w:val="20"/>
              </w:rPr>
              <w:t>5. Nível geral da avaliação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F1301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Razão mediana 0,999 (Grau III: 0,90 a 1,10)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90BB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</w:tr>
      <w:tr w:rsidR="002A225C" w14:paraId="73873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8A933" w14:textId="77777777" w:rsidR="002A225C" w:rsidRDefault="00000000">
            <w:r>
              <w:rPr>
                <w:sz w:val="20"/>
                <w:szCs w:val="20"/>
              </w:rPr>
              <w:t>6. Uniformidade horizontal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FC62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COD 9,6% (Grau III: ≤ 15%)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514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</w:tr>
    </w:tbl>
    <w:p w14:paraId="264865CE" w14:textId="77777777" w:rsidR="002A225C" w:rsidRDefault="00000000" w:rsidP="00B70958">
      <w:pPr>
        <w:spacing w:after="120"/>
        <w:jc w:val="both"/>
      </w:pPr>
      <w:r>
        <w:t>Os itens 1 a 3 da tabela da IBAPE (atualização do cadastro territorial, cobertura do cadastro e observatório do mercado imobiliário) são características institucionais da administração, não do modelo — o levantamento dessas informações está indicado na seção 6 para compor o enquadramento geral do trabalho.</w:t>
      </w:r>
    </w:p>
    <w:p w14:paraId="427662C8" w14:textId="77777777" w:rsidR="002A225C" w:rsidRDefault="00000000">
      <w:pPr>
        <w:pStyle w:val="Ttulo1"/>
      </w:pPr>
      <w:r>
        <w:lastRenderedPageBreak/>
        <w:t>4. Estudo de razões por segmento (IAAO)</w:t>
      </w:r>
    </w:p>
    <w:p w14:paraId="52B86F6B" w14:textId="77777777" w:rsidR="002A225C" w:rsidRDefault="00000000" w:rsidP="00B70958">
      <w:pPr>
        <w:spacing w:after="120"/>
        <w:jc w:val="both"/>
      </w:pPr>
      <w:r>
        <w:t>Calculado sobre o teste final (9.276 transações nunca usadas no treino), com o modelo LightGBM.</w:t>
      </w:r>
    </w:p>
    <w:p w14:paraId="089730C5" w14:textId="77777777" w:rsidR="002A225C" w:rsidRDefault="00000000">
      <w:pPr>
        <w:pStyle w:val="Ttulo2"/>
      </w:pPr>
      <w:r>
        <w:t>4.1 Equidade vertical — por faixa de valor</w:t>
      </w:r>
    </w:p>
    <w:p w14:paraId="2B36A153" w14:textId="77777777" w:rsidR="002A225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AB94236" wp14:editId="502DBF79">
            <wp:extent cx="5905500" cy="3314700"/>
            <wp:effectExtent l="0" t="0" r="0" b="0"/>
            <wp:docPr id="1093950424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C9FC" w14:textId="77777777" w:rsidR="002A225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6176518" wp14:editId="4A8DFEEB">
            <wp:extent cx="5905500" cy="3314700"/>
            <wp:effectExtent l="0" t="0" r="0" b="0"/>
            <wp:docPr id="893448945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CAC6" w14:textId="77777777" w:rsidR="002A225C" w:rsidRDefault="00000000" w:rsidP="00B70958">
      <w:pPr>
        <w:spacing w:after="120"/>
        <w:jc w:val="both"/>
      </w:pPr>
      <w:r>
        <w:rPr>
          <w:i/>
          <w:iCs/>
        </w:rPr>
        <w:lastRenderedPageBreak/>
        <w:t>Leitura: a razão mediana permanece dentro da meta IAAO (0,90–1,10) em todos os 10 decis de valor, e o COD fica abaixo de 15% em todos eles. Observa-se leve gradiente entre extremos (1,035 no decil dos imóveis mais baratos; 0,968–0,973 nos decis mais caros), registrado como fato para acompanhamento — sem ultrapassar os limites da meta em nenhum segmento.</w:t>
      </w:r>
    </w:p>
    <w:p w14:paraId="66ABDBEE" w14:textId="77777777" w:rsidR="002A225C" w:rsidRDefault="00000000" w:rsidP="00B70958">
      <w:pPr>
        <w:pStyle w:val="Ttulo2"/>
        <w:jc w:val="both"/>
      </w:pPr>
      <w:r>
        <w:t>4.2 Equidade horizontal — por setor fiscal</w:t>
      </w:r>
    </w:p>
    <w:p w14:paraId="6A2116AB" w14:textId="77777777" w:rsidR="002A225C" w:rsidRDefault="00000000" w:rsidP="00B70958">
      <w:pPr>
        <w:spacing w:after="120"/>
        <w:jc w:val="both"/>
      </w:pPr>
      <w:r>
        <w:t>Dos 95 setores fiscais presentes no teste final, 70 têm 10 ou mais transações (mínimo do Anexo A para leitura por categoria). Nesses 70 setores: razão mediana dentro de 0,90–1,10 em 70 de 70 (100%); COD ≤ 15% em 63 de 70. Os 7 setores com COD acima de 15% e os setores com menos de 10 transações estão listados em etapa5_</w:t>
      </w:r>
      <w:proofErr w:type="gramStart"/>
      <w:r>
        <w:t>resultados.json</w:t>
      </w:r>
      <w:proofErr w:type="gramEnd"/>
      <w:r>
        <w:t xml:space="preserve"> para acompanhamento.</w:t>
      </w:r>
    </w:p>
    <w:p w14:paraId="126F9CD4" w14:textId="77777777" w:rsidR="002A225C" w:rsidRDefault="00000000">
      <w:pPr>
        <w:pStyle w:val="Ttulo1"/>
      </w:pPr>
      <w:r>
        <w:t>5. Comparação com o valor venal atual</w:t>
      </w:r>
    </w:p>
    <w:p w14:paraId="5EE02A69" w14:textId="77777777" w:rsidR="002A225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447955DD" wp14:editId="7DDFC69D">
            <wp:extent cx="5905500" cy="2952750"/>
            <wp:effectExtent l="0" t="0" r="0" b="0"/>
            <wp:docPr id="1310363587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400"/>
        <w:gridCol w:w="1700"/>
        <w:gridCol w:w="1560"/>
      </w:tblGrid>
      <w:tr w:rsidR="002A225C" w14:paraId="663A44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DD3A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EE72B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Razão mediana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72214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41B7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CEB42" w14:textId="77777777" w:rsidR="002A22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PRB</w:t>
            </w:r>
          </w:p>
        </w:tc>
      </w:tr>
      <w:tr w:rsidR="002A225C" w14:paraId="692DBE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4A9C" w14:textId="77777777" w:rsidR="002A225C" w:rsidRDefault="00000000">
            <w:r>
              <w:rPr>
                <w:sz w:val="20"/>
                <w:szCs w:val="20"/>
              </w:rPr>
              <w:t>Valor venal (cadastro)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3B7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0,851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BC9DA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13,9%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7B9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1,005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085E6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0,0239</w:t>
            </w:r>
          </w:p>
        </w:tc>
      </w:tr>
      <w:tr w:rsidR="002A225C" w14:paraId="489BED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07EA5" w14:textId="77777777" w:rsidR="002A225C" w:rsidRDefault="00000000">
            <w:r>
              <w:rPr>
                <w:sz w:val="20"/>
                <w:szCs w:val="20"/>
              </w:rPr>
              <w:t>Hedônico (OLS)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40D5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0,987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EA64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18,5%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2F550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1,054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E8FD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0,0042</w:t>
            </w:r>
          </w:p>
        </w:tc>
      </w:tr>
      <w:tr w:rsidR="002A225C" w14:paraId="03352E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EB51" w14:textId="77777777" w:rsidR="002A225C" w:rsidRDefault="00000000">
            <w:r>
              <w:rPr>
                <w:b/>
                <w:bCs/>
                <w:sz w:val="20"/>
                <w:szCs w:val="20"/>
              </w:rPr>
              <w:t>LightGBM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5957" w14:textId="77777777" w:rsidR="002A225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0,999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B536C" w14:textId="77777777" w:rsidR="002A225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9,6%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C1087" w14:textId="77777777" w:rsidR="002A225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1,017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2F105" w14:textId="77777777" w:rsidR="002A225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-0,0088</w:t>
            </w:r>
          </w:p>
        </w:tc>
      </w:tr>
      <w:tr w:rsidR="002A225C" w14:paraId="78230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FE7B" w14:textId="77777777" w:rsidR="002A225C" w:rsidRDefault="00000000">
            <w:r>
              <w:rPr>
                <w:sz w:val="20"/>
                <w:szCs w:val="20"/>
              </w:rPr>
              <w:t>Meta IAAO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36EC2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0,90 – 1,10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CA31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≤ 15%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578BD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0,98 – 1,03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DAAE" w14:textId="77777777" w:rsidR="002A225C" w:rsidRDefault="00000000">
            <w:pPr>
              <w:jc w:val="center"/>
            </w:pPr>
            <w:r>
              <w:rPr>
                <w:sz w:val="20"/>
                <w:szCs w:val="20"/>
              </w:rPr>
              <w:t>±0,05</w:t>
            </w:r>
          </w:p>
        </w:tc>
      </w:tr>
    </w:tbl>
    <w:p w14:paraId="73D8C502" w14:textId="77777777" w:rsidR="002A225C" w:rsidRDefault="00000000" w:rsidP="000A5374">
      <w:pPr>
        <w:spacing w:after="120"/>
        <w:jc w:val="both"/>
      </w:pPr>
      <w:r>
        <w:rPr>
          <w:i/>
          <w:iCs/>
        </w:rPr>
        <w:t>Leitura: o valor venal do cadastro apresenta razão mediana de 0,851 — abaixo da faixa da meta (0,90), ou seja, subavaliação em relação aos preços praticados —, enquanto o LightGBM fica em 0,999.</w:t>
      </w:r>
    </w:p>
    <w:p w14:paraId="5E0ACE31" w14:textId="77777777" w:rsidR="002A225C" w:rsidRDefault="00000000" w:rsidP="000A5374">
      <w:pPr>
        <w:spacing w:after="120"/>
        <w:jc w:val="both"/>
      </w:pPr>
      <w:r>
        <w:rPr>
          <w:b/>
          <w:bCs/>
        </w:rPr>
        <w:t xml:space="preserve">Ressalva metodológica obrigatória: A base de treino/teste foi filtrada (decisão de 14/07/2026) para transações com desvio de até ±30% entre valor de transação e VLVENALCORRIGIDO. Essa restrição limita, por construção, a dispersão das razões do valor venal nesta comparação — as métricas do valor venal aqui NÃO são comparáveis às medidas na base completa (Etapa </w:t>
      </w:r>
      <w:proofErr w:type="gramStart"/>
      <w:r>
        <w:rPr>
          <w:b/>
          <w:bCs/>
        </w:rPr>
        <w:t>6 parcial</w:t>
      </w:r>
      <w:proofErr w:type="gramEnd"/>
      <w:r>
        <w:rPr>
          <w:b/>
          <w:bCs/>
        </w:rPr>
        <w:t>, base antiga).</w:t>
      </w:r>
    </w:p>
    <w:p w14:paraId="5F95205D" w14:textId="77777777" w:rsidR="002A225C" w:rsidRDefault="00000000">
      <w:pPr>
        <w:pStyle w:val="Ttulo1"/>
      </w:pPr>
      <w:r>
        <w:lastRenderedPageBreak/>
        <w:t>6. Consolidação e próximos passos</w:t>
      </w:r>
    </w:p>
    <w:p w14:paraId="77078592" w14:textId="77777777" w:rsidR="002A225C" w:rsidRDefault="00000000">
      <w:pPr>
        <w:spacing w:after="120"/>
      </w:pPr>
      <w:r>
        <w:rPr>
          <w:b/>
          <w:bCs/>
        </w:rPr>
        <w:t>Enquadramento consolidado: modelo hedônico com GRAU II de fundamentação e GRAU III de precisão (NBR 14653-2); LightGBM justificado e validado conforme IBAPE/SOBREA 2023 (itens 8.1.2 e 7.8.4), com todas as metas IAAO atendidas no teste final, inclusive por decil de valor e por setor fiscal.</w:t>
      </w:r>
    </w:p>
    <w:p w14:paraId="769C208E" w14:textId="77777777" w:rsidR="002A225C" w:rsidRDefault="00000000" w:rsidP="000A5374">
      <w:pPr>
        <w:spacing w:after="120"/>
        <w:jc w:val="both"/>
      </w:pPr>
      <w:r>
        <w:t>1. Agrupamento de setores fiscais com poucos dados: aplicado (177→175 e 179→162), pelo critério de distância ≤ 1 km e diferença de preço/m² ≤ 20%. Os 14 setores remanescentes com poucos dados não atenderam ao critério — o vizinho geograficamente mais próximo tem preço muito diferente (divisas entre bairros de padrão distinto) — e permanecem sem agrupamento forçado, por decisão da equipe de não agrupar sem sentido geográfico/econômico. O item 5 da Tabela 1 permanece fundamentado pela análise da variância por partes (seção 2.1), mantendo o hedônico em Grau II.</w:t>
      </w:r>
    </w:p>
    <w:p w14:paraId="5E99E4CA" w14:textId="77777777" w:rsidR="002A225C" w:rsidRDefault="00000000" w:rsidP="000A5374">
      <w:pPr>
        <w:spacing w:after="120"/>
        <w:jc w:val="both"/>
      </w:pPr>
      <w:r>
        <w:t xml:space="preserve">2. Pontos com distância de Cook acima de 1: investigados e explicados — antes do agrupamento eram 4 transações, todas em setores fiscais com uma única venda no treino (o que infla artificialmente a distância de Cook, sem indicar erro de dado). O agrupamento 177→175 já resolveu um desses casos; restam 3, nos setores ainda isolados (122, 166 e 172), cuja causa raiz é a mesma </w:t>
      </w:r>
      <w:proofErr w:type="spellStart"/>
      <w:r>
        <w:t>micronumerosidade</w:t>
      </w:r>
      <w:proofErr w:type="spellEnd"/>
      <w:r>
        <w:t xml:space="preserve"> do item 1 — não são vendas incomuns e não foram removidas.</w:t>
      </w:r>
    </w:p>
    <w:p w14:paraId="50EB074D" w14:textId="77777777" w:rsidR="002A225C" w:rsidRDefault="00000000" w:rsidP="000A5374">
      <w:pPr>
        <w:spacing w:after="120"/>
        <w:jc w:val="both"/>
      </w:pPr>
      <w:r>
        <w:t>3. Levantamento, junto à administração, dos itens 1 a 3 da Tabela 1 da IBAPE/SOBREA (atualização e cobertura do cadastro; observatório do mercado imobiliário), para compor o enquadramento geral do trabalho.</w:t>
      </w:r>
    </w:p>
    <w:p w14:paraId="638400B8" w14:textId="77777777" w:rsidR="002A225C" w:rsidRDefault="00000000" w:rsidP="000A5374">
      <w:pPr>
        <w:spacing w:after="120"/>
        <w:jc w:val="both"/>
      </w:pPr>
      <w:r>
        <w:t>4. Aprovação formal do modelo (D4) e planejamento da entrada em produção, com monitoramento da extrapolação (IBAPE 8.1.1.1) e do desempenho anual (IBAPE 7.12).</w:t>
      </w:r>
    </w:p>
    <w:sectPr w:rsidR="002A22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DC3"/>
    <w:multiLevelType w:val="hybridMultilevel"/>
    <w:tmpl w:val="8C564C7A"/>
    <w:lvl w:ilvl="0" w:tplc="6FCC57EE">
      <w:start w:val="1"/>
      <w:numFmt w:val="bullet"/>
      <w:lvlText w:val="●"/>
      <w:lvlJc w:val="left"/>
      <w:pPr>
        <w:ind w:left="720" w:hanging="360"/>
      </w:pPr>
    </w:lvl>
    <w:lvl w:ilvl="1" w:tplc="BA784148">
      <w:start w:val="1"/>
      <w:numFmt w:val="bullet"/>
      <w:lvlText w:val="○"/>
      <w:lvlJc w:val="left"/>
      <w:pPr>
        <w:ind w:left="1440" w:hanging="360"/>
      </w:pPr>
    </w:lvl>
    <w:lvl w:ilvl="2" w:tplc="EF9A6A96">
      <w:start w:val="1"/>
      <w:numFmt w:val="bullet"/>
      <w:lvlText w:val="■"/>
      <w:lvlJc w:val="left"/>
      <w:pPr>
        <w:ind w:left="2160" w:hanging="360"/>
      </w:pPr>
    </w:lvl>
    <w:lvl w:ilvl="3" w:tplc="62C44E0A">
      <w:start w:val="1"/>
      <w:numFmt w:val="bullet"/>
      <w:lvlText w:val="●"/>
      <w:lvlJc w:val="left"/>
      <w:pPr>
        <w:ind w:left="2880" w:hanging="360"/>
      </w:pPr>
    </w:lvl>
    <w:lvl w:ilvl="4" w:tplc="53684432">
      <w:start w:val="1"/>
      <w:numFmt w:val="bullet"/>
      <w:lvlText w:val="○"/>
      <w:lvlJc w:val="left"/>
      <w:pPr>
        <w:ind w:left="3600" w:hanging="360"/>
      </w:pPr>
    </w:lvl>
    <w:lvl w:ilvl="5" w:tplc="A2005F1A">
      <w:start w:val="1"/>
      <w:numFmt w:val="bullet"/>
      <w:lvlText w:val="■"/>
      <w:lvlJc w:val="left"/>
      <w:pPr>
        <w:ind w:left="4320" w:hanging="360"/>
      </w:pPr>
    </w:lvl>
    <w:lvl w:ilvl="6" w:tplc="D6900BD4">
      <w:start w:val="1"/>
      <w:numFmt w:val="bullet"/>
      <w:lvlText w:val="●"/>
      <w:lvlJc w:val="left"/>
      <w:pPr>
        <w:ind w:left="5040" w:hanging="360"/>
      </w:pPr>
    </w:lvl>
    <w:lvl w:ilvl="7" w:tplc="486021A6">
      <w:start w:val="1"/>
      <w:numFmt w:val="bullet"/>
      <w:lvlText w:val="●"/>
      <w:lvlJc w:val="left"/>
      <w:pPr>
        <w:ind w:left="5760" w:hanging="360"/>
      </w:pPr>
    </w:lvl>
    <w:lvl w:ilvl="8" w:tplc="44BC6F8C">
      <w:start w:val="1"/>
      <w:numFmt w:val="bullet"/>
      <w:lvlText w:val="●"/>
      <w:lvlJc w:val="left"/>
      <w:pPr>
        <w:ind w:left="6480" w:hanging="360"/>
      </w:pPr>
    </w:lvl>
  </w:abstractNum>
  <w:num w:numId="1" w16cid:durableId="493765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25C"/>
    <w:rsid w:val="000A5374"/>
    <w:rsid w:val="002A225C"/>
    <w:rsid w:val="005D01C8"/>
    <w:rsid w:val="00B70958"/>
    <w:rsid w:val="00FB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0F93"/>
  <w15:docId w15:val="{927E9690-2998-47F8-96AC-6B144F66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1650</Words>
  <Characters>8915</Characters>
  <Application>Microsoft Office Word</Application>
  <DocSecurity>0</DocSecurity>
  <Lines>74</Lines>
  <Paragraphs>21</Paragraphs>
  <ScaleCrop>false</ScaleCrop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4</cp:revision>
  <dcterms:created xsi:type="dcterms:W3CDTF">2026-07-15T13:38:00Z</dcterms:created>
  <dcterms:modified xsi:type="dcterms:W3CDTF">2026-07-15T13:46:00Z</dcterms:modified>
</cp:coreProperties>
</file>