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color w:val="1A3A5C"/>
        </w:rPr>
        <w:t>Explicação do Modelo de Avaliação em Massa — Apartamentos (ITIV)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Coordenadoria de Inteligência Fiscal — SEFAZ Salvador</w:t>
      </w:r>
      <w:r>
        <w:rPr>
          <w:rFonts w:ascii="Arial" w:hAnsi="Arial"/>
        </w:rPr>
      </w:r>
    </w:p>
    <w:p>
      <w:r>
        <w:rPr>
          <w:rFonts w:ascii="Arial" w:hAnsi="Arial"/>
        </w:rPr>
      </w:r>
      <w:r>
        <w:rPr>
          <w:rFonts w:ascii="Arial" w:hAnsi="Arial"/>
          <w:b/>
        </w:rPr>
        <w:t>Data:</w:t>
      </w:r>
      <w:r>
        <w:rPr>
          <w:rFonts w:ascii="Arial" w:hAnsi="Arial"/>
        </w:rPr>
        <w:t xml:space="preserve"> 15/07/2026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Natureza do documento:</w:t>
      </w:r>
      <w:r>
        <w:rPr>
          <w:rFonts w:ascii="Arial" w:hAnsi="Arial"/>
        </w:rPr>
        <w:t xml:space="preserve"> compilação didática das explicações técnicas do modelo, organizadas a partir de uma sessão de perguntas e respostas da equipe. Não introduz nenhuma análise nova — sistematiza o que já está registrado em `REGISTRO_ETAPAS_APROVACAO.md`, nos relatórios da Etapa 4 e Etapa 5, e no `FUNDAMENTACAO_NORMATIVA.md`.</w:t>
      </w:r>
    </w:p>
    <w:p/>
    <w:p>
      <w:pPr>
        <w:pStyle w:val="Heading2"/>
      </w:pPr>
      <w:r>
        <w:rPr>
          <w:rFonts w:ascii="Arial" w:hAnsi="Arial"/>
          <w:color w:val="1A3A5C"/>
        </w:rPr>
        <w:t>1. O projeto em uma frase</w:t>
      </w:r>
    </w:p>
    <w:p>
      <w:r>
        <w:rPr>
          <w:rFonts w:ascii="Arial" w:hAnsi="Arial"/>
        </w:rPr>
        <w:t>Reconstruir o modelo de avaliação em massa dos apartamentos do ITIV para que o valor de mercado estimado siga normas técnicas reconhecidas (ABNT NBR 14653-1/2, IBAPE/SOBREA 2023, IAAO) e sustente lançamento tributário sem fragilidade técnica ou jurídica — reduzindo tanto a subavaliação (perda de arrecadação) quanto a superavaliação individual (motivo mais comum de contestação).</w:t>
      </w:r>
    </w:p>
    <w:p/>
    <w:p>
      <w:pPr>
        <w:pStyle w:val="Heading2"/>
      </w:pPr>
      <w:r>
        <w:rPr>
          <w:rFonts w:ascii="Arial" w:hAnsi="Arial"/>
          <w:color w:val="1A3A5C"/>
        </w:rPr>
        <w:t>2. Arquitetura do modelo</w:t>
      </w:r>
    </w:p>
    <w:p>
      <w:r>
        <w:rPr>
          <w:rFonts w:ascii="Arial" w:hAnsi="Arial"/>
        </w:rPr>
        <w:t>Dois modelos são treinados em paralelo, com papéis diferentes: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Modelo</w:t>
            </w:r>
          </w:p>
        </w:tc>
        <w:tc>
          <w:tcPr>
            <w:tcW w:type="dxa" w:w="3192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Papel</w:t>
            </w:r>
          </w:p>
        </w:tc>
        <w:tc>
          <w:tcPr>
            <w:tcW w:type="dxa" w:w="3192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Por quê</w:t>
            </w:r>
          </w:p>
        </w:tc>
      </w:tr>
      <w:tr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LightGBM</w:t>
            </w:r>
            <w:r>
              <w:rPr>
                <w:rFonts w:ascii="Arial" w:hAnsi="Arial"/>
                <w:sz w:val="19"/>
              </w:rPr>
              <w:t xml:space="preserve"> (gradient boosting)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Calcula os valores e sinaliza contribuintes — é o modelo de produção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Venceu a disputa entre 5 famílias de algoritmos; captura relações não lineares entre as características do imóvel e o preço</w:t>
            </w:r>
          </w:p>
        </w:tc>
      </w:tr>
      <w:tr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Hedônico (OLS)</w:t>
            </w:r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Âncora normativa — não avalia imóveis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Produz os testes estatísticos formais (t/F) exigidos pela NBR 14653-2, explicando o peso de cada variável a contribuintes, julgadores e Procuradoria</w:t>
            </w:r>
          </w:p>
        </w:tc>
      </w:tr>
    </w:tbl>
    <w:p/>
    <w:p>
      <w:r>
        <w:rPr>
          <w:rFonts w:ascii="Arial" w:hAnsi="Arial"/>
        </w:rPr>
        <w:t xml:space="preserve">Os dois são treinados de forma </w:t>
      </w:r>
      <w:r>
        <w:rPr>
          <w:rFonts w:ascii="Arial" w:hAnsi="Arial"/>
          <w:b/>
        </w:rPr>
        <w:t>independente</w:t>
      </w:r>
      <w:r>
        <w:rPr>
          <w:rFonts w:ascii="Arial" w:hAnsi="Arial"/>
        </w:rPr>
        <w:t xml:space="preserve"> — o resultado de um não entra no cálculo do outro. Quando divergem muito num imóvel específico, isso gera um alerta adicional de avaliação individual.</w:t>
      </w:r>
    </w:p>
    <w:p>
      <w:pPr>
        <w:pStyle w:val="Heading3"/>
      </w:pPr>
      <w:r>
        <w:rPr>
          <w:rFonts w:ascii="Arial" w:hAnsi="Arial"/>
          <w:color w:val="1A3A5C"/>
        </w:rPr>
        <w:t>2.1 Por que o LightGBM venceu — e por que isso é uma evidência de robustez, não de escolha arbitrária</w:t>
      </w:r>
    </w:p>
    <w:p>
      <w:r>
        <w:rPr>
          <w:rFonts w:ascii="Arial" w:hAnsi="Arial"/>
        </w:rPr>
        <w:t>Cinco famílias de modelos disputaram (GridSearch, validação cruzada k=5), avaliadas pelo mesmo critério (erro médio no logaritmo do valor):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Modelo candidato</w:t>
            </w:r>
          </w:p>
        </w:tc>
        <w:tc>
          <w:tcPr>
            <w:tcW w:type="dxa" w:w="4788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Erro médio (log) — menor é melhor</w:t>
            </w:r>
          </w:p>
        </w:tc>
      </w:tr>
      <w:tr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LightGBM</w:t>
            </w:r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0,0926</w:t>
            </w:r>
            <w:r>
              <w:rPr>
                <w:rFonts w:ascii="Arial" w:hAnsi="Arial"/>
                <w:sz w:val="19"/>
              </w:rPr>
              <w:t xml:space="preserve"> (vencedor)</w:t>
            </w:r>
          </w:p>
        </w:tc>
      </w:tr>
      <w:tr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Extra Trees</w:t>
            </w:r>
          </w:p>
        </w:tc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0,0934</w:t>
            </w:r>
          </w:p>
        </w:tc>
      </w:tr>
      <w:tr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Floresta Aleatória</w:t>
            </w:r>
          </w:p>
        </w:tc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0,0944</w:t>
            </w:r>
          </w:p>
        </w:tc>
      </w:tr>
      <w:tr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HistGradientBoosting</w:t>
            </w:r>
          </w:p>
        </w:tc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0,0944</w:t>
            </w:r>
          </w:p>
        </w:tc>
      </w:tr>
      <w:tr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ElasticNet (linear)</w:t>
            </w:r>
          </w:p>
        </w:tc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0,1112</w:t>
            </w:r>
          </w:p>
        </w:tc>
      </w:tr>
    </w:tbl>
    <w:p/>
    <w:p>
      <w:r>
        <w:rPr>
          <w:rFonts w:ascii="Arial" w:hAnsi="Arial"/>
        </w:rPr>
        <w:t xml:space="preserve">Os quatro modelos baseados em árvore — apesar de construídos de formas diferentes (*bagging* nos dois primeiros, *boosting* nos dois últimos) — chegaram a erros praticamente idênticos (diferença menor que 2%). Isso é o oposto de "escolheram o algoritmo que dava o resultado que queriam": quando métodos com lógicas de construção tão diferentes convergem para o mesmo patamar, a leitura correta é que </w:t>
      </w:r>
      <w:r>
        <w:rPr>
          <w:rFonts w:ascii="Arial" w:hAnsi="Arial"/>
          <w:b/>
        </w:rPr>
        <w:t>o teto de previsibilidade já foi atingido com essas variáveis</w:t>
      </w:r>
      <w:r>
        <w:rPr>
          <w:rFonts w:ascii="Arial" w:hAnsi="Arial"/>
        </w:rPr>
        <w:t xml:space="preserve"> — o resultado vem do dado e da não linearidade da relação preço×características, não de uma particularidade do LightGBM. O ElasticNet (linear) ficou visivelmente atrás (~20% pior), confirmando que a relação não é linear (o efeito da área muda conforme o setor, o efeito do andar muda conforme o prédio, etc. — interações que um modelo linear com log não captura, mas qualquer método baseado em árvore capta naturalmente).</w:t>
      </w:r>
    </w:p>
    <w:p/>
    <w:p>
      <w:pPr>
        <w:pStyle w:val="Heading2"/>
      </w:pPr>
      <w:r>
        <w:rPr>
          <w:rFonts w:ascii="Arial" w:hAnsi="Arial"/>
          <w:color w:val="1A3A5C"/>
        </w:rPr>
        <w:t>3. Preparação da base e decisões aplicadas (Etapa 4, 14/07/2026)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4788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Decisão aplicada</w:t>
            </w:r>
          </w:p>
        </w:tc>
      </w:tr>
      <w:tr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D1</w:t>
            </w:r>
          </w:p>
        </w:tc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Remoção dos `SQTRANSMISSAO` duplicados (mantida a 1ª ocorrência)</w:t>
            </w:r>
          </w:p>
        </w:tc>
      </w:tr>
      <w:tr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D2</w:t>
            </w:r>
          </w:p>
        </w:tc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Remoção completa das linhas duplicadas de inscrição+data+valor</w:t>
            </w:r>
          </w:p>
        </w:tc>
      </w:tr>
      <w:tr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Filtro de plausibilidade</w:t>
            </w:r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 xml:space="preserve">Substituiu o corte de vendas simbólicas. Permanecem só transações "Compra e Venda", subunidade "Apartamento", VLITIV &gt; 0, e com desvio de até </w:t>
            </w:r>
            <w:r>
              <w:rPr>
                <w:rFonts w:ascii="Arial" w:hAnsi="Arial"/>
                <w:b/>
                <w:sz w:val="19"/>
              </w:rPr>
              <w:t>±30%</w:t>
            </w:r>
            <w:r>
              <w:rPr>
                <w:rFonts w:ascii="Arial" w:hAnsi="Arial"/>
                <w:sz w:val="19"/>
              </w:rPr>
              <w:t xml:space="preserve"> entre valor de transação e valor venal corrigido</w:t>
            </w:r>
          </w:p>
        </w:tc>
      </w:tr>
      <w:tr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D3</w:t>
            </w:r>
          </w:p>
        </w:tc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Exclusão de vendas antes de 03/2020; deflação pelo IPCA; variável de tendência temporal</w:t>
            </w:r>
          </w:p>
        </w:tc>
      </w:tr>
      <w:tr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D4</w:t>
            </w:r>
          </w:p>
        </w:tc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Metas IAAO (razão 0,90–1,10; COD ≤15%; PRD 0,98–1,03; PRB ±0,05) como critério de aprovação</w:t>
            </w:r>
          </w:p>
        </w:tc>
      </w:tr>
      <w:tr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D5</w:t>
            </w:r>
          </w:p>
        </w:tc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Nível de confiança de 90% para sinalização de contribuintes</w:t>
            </w:r>
          </w:p>
        </w:tc>
      </w:tr>
      <w:tr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D6</w:t>
            </w:r>
          </w:p>
        </w:tc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GridSearch ampliado a 5 famílias de modelos; hedônico mantido como âncora normativa</w:t>
            </w:r>
          </w:p>
        </w:tc>
      </w:tr>
      <w:tr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D7</w:t>
            </w:r>
          </w:p>
        </w:tc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Validação cruzada k=10; Chauvenet iterativo e proxy KNN recalculados dentro de cada fold</w:t>
            </w:r>
          </w:p>
        </w:tc>
      </w:tr>
      <w:tr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VLFC*</w:t>
            </w:r>
          </w:p>
        </w:tc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Excluídos do modelo (circularidade com o valor venal atual)</w:t>
            </w:r>
          </w:p>
        </w:tc>
      </w:tr>
    </w:tbl>
    <w:p/>
    <w:p>
      <w:r>
        <w:rPr>
          <w:rFonts w:ascii="Arial" w:hAnsi="Arial"/>
        </w:rPr>
      </w:r>
      <w:r>
        <w:rPr>
          <w:rFonts w:ascii="Arial" w:hAnsi="Arial"/>
          <w:b/>
        </w:rPr>
        <w:t>Funil da base:</w:t>
      </w:r>
      <w:r>
        <w:rPr>
          <w:rFonts w:ascii="Arial" w:hAnsi="Arial"/>
        </w:rPr>
        <w:t xml:space="preserve"> 97.990 apartamentos → filtro de plausibilidade (o corte de maior impacto: VLITIV&gt;0 e desvio ±30% do valor venal) → </w:t>
      </w:r>
      <w:r>
        <w:rPr>
          <w:rFonts w:ascii="Arial" w:hAnsi="Arial"/>
          <w:b/>
        </w:rPr>
        <w:t>46.392 transações</w:t>
      </w:r>
      <w:r>
        <w:rPr>
          <w:rFonts w:ascii="Arial" w:hAnsi="Arial"/>
        </w:rPr>
        <w:t xml:space="preserve"> finais. Divisão: 80% para treino/validação cruzada (37.116 linhas), 20% reservado como teste final nunca tocado em treino ou ajuste de hiperparâmetros (9.276 linhas).</w:t>
      </w:r>
    </w:p>
    <w:p/>
    <w:p>
      <w:pPr>
        <w:pStyle w:val="Heading2"/>
      </w:pPr>
      <w:r>
        <w:rPr>
          <w:rFonts w:ascii="Arial" w:hAnsi="Arial"/>
          <w:color w:val="1A3A5C"/>
        </w:rPr>
        <w:t>4. Parâmetros do modelo</w:t>
      </w:r>
    </w:p>
    <w:p>
      <w:pPr>
        <w:pStyle w:val="Heading3"/>
      </w:pPr>
      <w:r>
        <w:rPr>
          <w:rFonts w:ascii="Arial" w:hAnsi="Arial"/>
          <w:color w:val="1A3A5C"/>
        </w:rPr>
        <w:t>Entram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Parâmetro</w:t>
            </w:r>
          </w:p>
        </w:tc>
        <w:tc>
          <w:tcPr>
            <w:tcW w:type="dxa" w:w="3192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Forma</w:t>
            </w:r>
          </w:p>
        </w:tc>
        <w:tc>
          <w:tcPr>
            <w:tcW w:type="dxa" w:w="3192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Por que entra</w:t>
            </w:r>
          </w:p>
        </w:tc>
      </w:tr>
      <w:tr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Área privativa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log (ln)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Mais explica o preço (Spearman 0,79); representa as áreas (as outras são redundantes)</w:t>
            </w:r>
          </w:p>
        </w:tc>
      </w:tr>
      <w:tr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Nº de pavimentos do prédio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escala original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Significativo (p ≤ 10%) e não redundante com a área</w:t>
            </w:r>
          </w:p>
        </w:tc>
      </w:tr>
      <w:tr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Localização (setor fiscal + coordenadas)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categórica + espacial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Fator mais determinante do valor (até 13× entre setores)</w:t>
            </w:r>
          </w:p>
        </w:tc>
      </w:tr>
      <w:tr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Andar da unidade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valor + marca "tem/não tem"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Só 35% preenchido — entra com salvaguarda</w:t>
            </w:r>
          </w:p>
        </w:tc>
      </w:tr>
    </w:tbl>
    <w:p/>
    <w:p>
      <w:pPr>
        <w:pStyle w:val="Heading3"/>
      </w:pPr>
      <w:r>
        <w:rPr>
          <w:rFonts w:ascii="Arial" w:hAnsi="Arial"/>
          <w:color w:val="1A3A5C"/>
        </w:rPr>
        <w:t>Saem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Parâmetro</w:t>
            </w:r>
          </w:p>
        </w:tc>
        <w:tc>
          <w:tcPr>
            <w:tcW w:type="dxa" w:w="4788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Por que sai</w:t>
            </w:r>
          </w:p>
        </w:tc>
      </w:tr>
      <w:tr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Área construída / da unidade</w:t>
            </w:r>
          </w:p>
        </w:tc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Redundantes com a área privativa (correlação &gt; 0,90; VIF &gt; 10)</w:t>
            </w:r>
          </w:p>
        </w:tc>
      </w:tr>
      <w:tr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Fatores VLFC* (construção, terreno, valor venal)</w:t>
            </w:r>
          </w:p>
        </w:tc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Circularidade</w:t>
            </w:r>
            <w:r>
              <w:rPr>
                <w:rFonts w:ascii="Arial" w:hAnsi="Arial"/>
                <w:sz w:val="19"/>
              </w:rPr>
              <w:t xml:space="preserve"> — são derivados do próprio valor venal atual; usá-los faria o modelo repetir a prefeitura em vez de medir o mercado. Não agregam poder de previsão (R² +0,0002)</w:t>
            </w:r>
          </w:p>
        </w:tc>
      </w:tr>
      <w:tr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Idade do imóvel</w:t>
            </w:r>
          </w:p>
        </w:tc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Dado praticamente inexistente na base (~0% preenchido)</w:t>
            </w:r>
          </w:p>
        </w:tc>
      </w:tr>
    </w:tbl>
    <w:p/>
    <w:p/>
    <w:p>
      <w:pPr>
        <w:pStyle w:val="Heading2"/>
      </w:pPr>
      <w:r>
        <w:rPr>
          <w:rFonts w:ascii="Arial" w:hAnsi="Arial"/>
          <w:color w:val="1A3A5C"/>
        </w:rPr>
        <w:t>5. Como o modelo lida com a heterogeneidade dentro de um mesmo setor fiscal</w:t>
      </w:r>
    </w:p>
    <w:p>
      <w:r>
        <w:rPr>
          <w:rFonts w:ascii="Arial" w:hAnsi="Arial"/>
        </w:rPr>
        <w:t>Setor fiscal é uma zona ampla — não foi desenhado para diferenciar quadra a quadra. Um bairro como a Pituba pode ter, no mesmo setor, torres de alto padrão e áreas de subhabitação. Dois mecanismos, além do setor fiscal, tratam disso:</w:t>
      </w:r>
    </w:p>
    <w:p>
      <w:pPr>
        <w:pStyle w:val="ListNumber"/>
      </w:pPr>
      <w:r>
        <w:rPr>
          <w:rFonts w:ascii="Arial" w:hAnsi="Arial"/>
        </w:rPr>
      </w:r>
      <w:r>
        <w:rPr>
          <w:rFonts w:ascii="Arial" w:hAnsi="Arial"/>
          <w:b/>
        </w:rPr>
        <w:t>Coordenadas (X/Y) como variável contínua.</w:t>
      </w:r>
      <w:r>
        <w:rPr>
          <w:rFonts w:ascii="Arial" w:hAnsi="Arial"/>
        </w:rPr>
        <w:t xml:space="preserve"> O LightGBM particiona o espaço livremente, sem estar preso às fronteiras oficiais do setor — pode aprender micro-zonas dentro de um mesmo setor.</w:t>
      </w:r>
    </w:p>
    <w:p>
      <w:pPr>
        <w:pStyle w:val="ListNumber"/>
      </w:pPr>
      <w:r>
        <w:rPr>
          <w:rFonts w:ascii="Arial" w:hAnsi="Arial"/>
        </w:rPr>
      </w:r>
      <w:r>
        <w:rPr>
          <w:rFonts w:ascii="Arial" w:hAnsi="Arial"/>
          <w:b/>
        </w:rPr>
        <w:t>Proxy de vizinhança KNN10, causal.</w:t>
      </w:r>
      <w:r>
        <w:rPr>
          <w:rFonts w:ascii="Arial" w:hAnsi="Arial"/>
        </w:rPr>
        <w:t xml:space="preserve"> Para cada imóvel, o modelo usa o preço médio das 10 transações mais próximas geograficamente (sempre do conjunto de treino, nunca vazando o próprio imóvel). Correlação medida: 0,41 com o preço — sinal relevante e independente do setor fiscal oficial.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Limitações reconhecidas, ainda não testadas explicitamente nos relatórios:</w:t>
      </w:r>
      <w:r>
        <w:rPr>
          <w:rFonts w:ascii="Arial" w:hAnsi="Arial"/>
        </w:rPr>
      </w:r>
    </w:p>
    <w:p>
      <w:pPr>
        <w:pStyle w:val="ListBullet"/>
      </w:pPr>
      <w:r>
        <w:rPr>
          <w:rFonts w:ascii="Arial" w:hAnsi="Arial"/>
        </w:rPr>
        <w:t>O KNN só é robusto se houver vizinhos formais suficientes. Áreas de ocupação informal tendem a ter menos transações de "Compra e Venda" registradas em cartório — justamente onde mais importaria ter precisão.</w:t>
      </w:r>
    </w:p>
    <w:p>
      <w:pPr>
        <w:pStyle w:val="ListBullet"/>
      </w:pPr>
      <w:r>
        <w:rPr>
          <w:rFonts w:ascii="Arial" w:hAnsi="Arial"/>
        </w:rPr>
        <w:t>2,3% dos imóveis não têm coordenada, caindo de volta no setor fiscal puro.</w:t>
      </w:r>
    </w:p>
    <w:p>
      <w:pPr>
        <w:pStyle w:val="ListBullet"/>
      </w:pPr>
      <w:r>
        <w:rPr>
          <w:rFonts w:ascii="Arial" w:hAnsi="Arial"/>
        </w:rPr>
        <w:t xml:space="preserve">A validação já feita mede equidade por </w:t>
      </w:r>
      <w:r>
        <w:rPr>
          <w:rFonts w:ascii="Arial" w:hAnsi="Arial"/>
          <w:b/>
        </w:rPr>
        <w:t>decil de valor</w:t>
      </w:r>
      <w:r>
        <w:rPr>
          <w:rFonts w:ascii="Arial" w:hAnsi="Arial"/>
        </w:rPr>
        <w:t xml:space="preserve"> e por </w:t>
      </w:r>
      <w:r>
        <w:rPr>
          <w:rFonts w:ascii="Arial" w:hAnsi="Arial"/>
          <w:b/>
        </w:rPr>
        <w:t>setor fiscal agregado</w:t>
      </w:r>
      <w:r>
        <w:rPr>
          <w:rFonts w:ascii="Arial" w:hAnsi="Arial"/>
        </w:rPr>
        <w:t xml:space="preserve"> (70 de 95 setores dentro da meta; 63 de 70 com COD ≤15%) — não mede diretamente sub-áreas heterogêneas dentro de um mesmo setor. Um teste de COD por sub-região dentro de setores heterogêneos (como a Pituba) é um próximo passo recomendado, ainda pendente.</w:t>
      </w:r>
    </w:p>
    <w:p/>
    <w:p>
      <w:pPr>
        <w:pStyle w:val="Heading2"/>
      </w:pPr>
      <w:r>
        <w:rPr>
          <w:rFonts w:ascii="Arial" w:hAnsi="Arial"/>
          <w:color w:val="1A3A5C"/>
        </w:rPr>
        <w:t>6. Como interpretar COD, PRD e PRB</w:t>
      </w:r>
    </w:p>
    <w:p>
      <w:r>
        <w:rPr>
          <w:rFonts w:ascii="Arial" w:hAnsi="Arial"/>
        </w:rPr>
        <w:t xml:space="preserve">Todos partem da </w:t>
      </w:r>
      <w:r>
        <w:rPr>
          <w:rFonts w:ascii="Arial" w:hAnsi="Arial"/>
          <w:b/>
        </w:rPr>
        <w:t>razão</w:t>
      </w:r>
      <w:r>
        <w:rPr>
          <w:rFonts w:ascii="Arial" w:hAnsi="Arial"/>
        </w:rPr>
        <w:t xml:space="preserve"> = valor estimado ÷ preço real de venda, calculada imóvel a imóvel.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Métrica</w:t>
            </w:r>
          </w:p>
        </w:tc>
        <w:tc>
          <w:tcPr>
            <w:tcW w:type="dxa" w:w="3192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Pergunta que responde</w:t>
            </w:r>
          </w:p>
        </w:tc>
        <w:tc>
          <w:tcPr>
            <w:tcW w:type="dxa" w:w="3192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Meta IAAO</w:t>
            </w:r>
          </w:p>
        </w:tc>
      </w:tr>
      <w:tr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Nível Geral</w:t>
            </w:r>
            <w:r>
              <w:rPr>
                <w:rFonts w:ascii="Arial" w:hAnsi="Arial"/>
                <w:sz w:val="19"/>
              </w:rPr>
              <w:t xml:space="preserve"> (razão mediana)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O modelo acerta o valor de mercado no geral?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0,90 – 1,10</w:t>
            </w:r>
          </w:p>
        </w:tc>
      </w:tr>
      <w:tr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COD</w:t>
            </w:r>
            <w:r>
              <w:rPr>
                <w:rFonts w:ascii="Arial" w:hAnsi="Arial"/>
                <w:sz w:val="19"/>
              </w:rPr>
              <w:t xml:space="preserve"> (Coeficiente de Dispersão)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Imóveis parecidos recebem tratamento parecido? (equidade horizontal)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≤ 15%</w:t>
            </w:r>
          </w:p>
        </w:tc>
      </w:tr>
      <w:tr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PRD</w:t>
            </w:r>
            <w:r>
              <w:rPr>
                <w:rFonts w:ascii="Arial" w:hAnsi="Arial"/>
                <w:sz w:val="19"/>
              </w:rPr>
              <w:t xml:space="preserve"> (Price-Related Differential)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Imóveis baratos e caros são tratados igual? — método clássico (equidade vertical)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0,98 – 1,03</w:t>
            </w:r>
          </w:p>
        </w:tc>
      </w:tr>
      <w:tr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PRB</w:t>
            </w:r>
            <w:r>
              <w:rPr>
                <w:rFonts w:ascii="Arial" w:hAnsi="Arial"/>
                <w:sz w:val="19"/>
              </w:rPr>
              <w:t xml:space="preserve"> (Price-Related Bias)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Mesma pergunta do PRD, calculada por regressão — mais robusta a distorções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−0,05 a +0,05</w:t>
            </w:r>
          </w:p>
        </w:tc>
      </w:tr>
    </w:tbl>
    <w:p/>
    <w:p>
      <w:r>
        <w:rPr>
          <w:rFonts w:ascii="Arial" w:hAnsi="Arial"/>
        </w:rPr>
      </w:r>
      <w:r>
        <w:rPr>
          <w:rFonts w:ascii="Arial" w:hAnsi="Arial"/>
          <w:b/>
        </w:rPr>
        <w:t>PRD &gt; 1</w:t>
      </w:r>
      <w:r>
        <w:rPr>
          <w:rFonts w:ascii="Arial" w:hAnsi="Arial"/>
        </w:rPr>
        <w:t xml:space="preserve"> ou </w:t>
      </w:r>
      <w:r>
        <w:rPr>
          <w:rFonts w:ascii="Arial" w:hAnsi="Arial"/>
          <w:b/>
        </w:rPr>
        <w:t>PRB negativo</w:t>
      </w:r>
      <w:r>
        <w:rPr>
          <w:rFonts w:ascii="Arial" w:hAnsi="Arial"/>
        </w:rPr>
        <w:t xml:space="preserve"> = regressivo (imóveis baratos superavaliados relativamente aos caros). </w:t>
      </w:r>
      <w:r>
        <w:rPr>
          <w:rFonts w:ascii="Arial" w:hAnsi="Arial"/>
          <w:b/>
        </w:rPr>
        <w:t>PRD &lt; 1</w:t>
      </w:r>
      <w:r>
        <w:rPr>
          <w:rFonts w:ascii="Arial" w:hAnsi="Arial"/>
        </w:rPr>
        <w:t xml:space="preserve"> ou </w:t>
      </w:r>
      <w:r>
        <w:rPr>
          <w:rFonts w:ascii="Arial" w:hAnsi="Arial"/>
          <w:b/>
        </w:rPr>
        <w:t>PRB positivo</w:t>
      </w:r>
      <w:r>
        <w:rPr>
          <w:rFonts w:ascii="Arial" w:hAnsi="Arial"/>
        </w:rPr>
        <w:t xml:space="preserve"> = o oposto. Os dois indicadores existem porque o PRD é sensível a distorções (na primeira versão do treino, antes do filtro de plausibilidade, PRD/PRB chegaram à casa das dezenas por causa de vendas muito fora do padrão); o PRB, por ser baseado em regressão, é mais estável.</w:t>
      </w:r>
    </w:p>
    <w:p>
      <w:pPr>
        <w:pStyle w:val="Heading3"/>
      </w:pPr>
      <w:r>
        <w:rPr>
          <w:rFonts w:ascii="Arial" w:hAnsi="Arial"/>
          <w:color w:val="1A3A5C"/>
        </w:rPr>
        <w:t>Por que a subavaliação agregada (razão mediana baixa) não contradiz as reclamações de contribuintes</w:t>
      </w:r>
    </w:p>
    <w:p>
      <w:r>
        <w:rPr>
          <w:rFonts w:ascii="Arial" w:hAnsi="Arial"/>
        </w:rPr>
        <w:t xml:space="preserve">A razão mediana do valor venal atual (0,851) descreve o </w:t>
      </w:r>
      <w:r>
        <w:rPr>
          <w:rFonts w:ascii="Arial" w:hAnsi="Arial"/>
          <w:b/>
        </w:rPr>
        <w:t>conjunto todo</w:t>
      </w:r>
      <w:r>
        <w:rPr>
          <w:rFonts w:ascii="Arial" w:hAnsi="Arial"/>
        </w:rPr>
        <w:t xml:space="preserve"> — no agregado, o cadastro ficou para trás da valorização do mercado (preços subiram 51% de 2021 a 2026). Já quem contesta está na </w:t>
      </w:r>
      <w:r>
        <w:rPr>
          <w:rFonts w:ascii="Arial" w:hAnsi="Arial"/>
          <w:b/>
        </w:rPr>
        <w:t>outra ponta da distribuição</w:t>
      </w:r>
      <w:r>
        <w:rPr>
          <w:rFonts w:ascii="Arial" w:hAnsi="Arial"/>
        </w:rPr>
        <w:t xml:space="preserve">: o imóvel específico dele foi avaliado acima do que vale, por causa de uma tabela genérica por região. As duas coisas coexistem porque medem coisas diferentes — a subavaliação agregada não impede a existência de casos individuais superavaliados. É o </w:t>
      </w:r>
      <w:r>
        <w:rPr>
          <w:rFonts w:ascii="Arial" w:hAnsi="Arial"/>
          <w:b/>
        </w:rPr>
        <w:t>COD</w:t>
      </w:r>
      <w:r>
        <w:rPr>
          <w:rFonts w:ascii="Arial" w:hAnsi="Arial"/>
        </w:rPr>
        <w:t xml:space="preserve"> (dispersão individual), não a razão mediana, que mede diretamente esse segundo problema — e foi o COD que mais caiu com o modelo novo (35,4% → 9,6%).</w:t>
      </w:r>
    </w:p>
    <w:p/>
    <w:p>
      <w:pPr>
        <w:pStyle w:val="Heading2"/>
      </w:pPr>
      <w:r>
        <w:rPr>
          <w:rFonts w:ascii="Arial" w:hAnsi="Arial"/>
          <w:color w:val="1A3A5C"/>
        </w:rPr>
        <w:t>7. Resultados no teste final (holdout, 9.276 transações nunca usadas em treino)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15"/>
        <w:gridCol w:w="1915"/>
        <w:gridCol w:w="1915"/>
        <w:gridCol w:w="1915"/>
        <w:gridCol w:w="1915"/>
      </w:tblGrid>
      <w:tr>
        <w:tc>
          <w:tcPr>
            <w:tcW w:type="dxa" w:w="1915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Métrica</w:t>
            </w:r>
          </w:p>
        </w:tc>
        <w:tc>
          <w:tcPr>
            <w:tcW w:type="dxa" w:w="1915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Valor venal atual</w:t>
            </w:r>
          </w:p>
        </w:tc>
        <w:tc>
          <w:tcPr>
            <w:tcW w:type="dxa" w:w="1915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Hedônico (OLS)</w:t>
            </w:r>
          </w:p>
        </w:tc>
        <w:tc>
          <w:tcPr>
            <w:tcW w:type="dxa" w:w="1915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**LightGBM**</w:t>
            </w:r>
          </w:p>
        </w:tc>
        <w:tc>
          <w:tcPr>
            <w:tcW w:type="dxa" w:w="1915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Meta IAAO</w:t>
            </w:r>
          </w:p>
        </w:tc>
      </w:tr>
      <w:tr>
        <w:tc>
          <w:tcPr>
            <w:tcW w:type="dxa" w:w="1915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Nível Geral (razão mediana)</w:t>
            </w:r>
          </w:p>
        </w:tc>
        <w:tc>
          <w:tcPr>
            <w:tcW w:type="dxa" w:w="1915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0,851 ✕</w:t>
            </w:r>
          </w:p>
        </w:tc>
        <w:tc>
          <w:tcPr>
            <w:tcW w:type="dxa" w:w="1915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0,987 ✓</w:t>
            </w:r>
          </w:p>
        </w:tc>
        <w:tc>
          <w:tcPr>
            <w:tcW w:type="dxa" w:w="1915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0,999 ✓</w:t>
            </w:r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1915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0,90 – 1,10</w:t>
            </w:r>
          </w:p>
        </w:tc>
      </w:tr>
      <w:tr>
        <w:tc>
          <w:tcPr>
            <w:tcW w:type="dxa" w:w="1915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COD</w:t>
            </w:r>
          </w:p>
        </w:tc>
        <w:tc>
          <w:tcPr>
            <w:tcW w:type="dxa" w:w="1915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35,4% ✕</w:t>
            </w:r>
          </w:p>
        </w:tc>
        <w:tc>
          <w:tcPr>
            <w:tcW w:type="dxa" w:w="1915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18,5% ✕</w:t>
            </w:r>
          </w:p>
        </w:tc>
        <w:tc>
          <w:tcPr>
            <w:tcW w:type="dxa" w:w="1915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9,6% ✓</w:t>
            </w:r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1915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≤ 15%</w:t>
            </w:r>
          </w:p>
        </w:tc>
      </w:tr>
      <w:tr>
        <w:tc>
          <w:tcPr>
            <w:tcW w:type="dxa" w:w="1915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PRD</w:t>
            </w:r>
          </w:p>
        </w:tc>
        <w:tc>
          <w:tcPr>
            <w:tcW w:type="dxa" w:w="1915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1,005 ✓</w:t>
            </w:r>
          </w:p>
        </w:tc>
        <w:tc>
          <w:tcPr>
            <w:tcW w:type="dxa" w:w="1915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1,054 ✕</w:t>
            </w:r>
          </w:p>
        </w:tc>
        <w:tc>
          <w:tcPr>
            <w:tcW w:type="dxa" w:w="1915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1,017 ✓</w:t>
            </w:r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1915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0,98 – 1,03</w:t>
            </w:r>
          </w:p>
        </w:tc>
      </w:tr>
      <w:tr>
        <w:tc>
          <w:tcPr>
            <w:tcW w:type="dxa" w:w="1915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PRB</w:t>
            </w:r>
          </w:p>
        </w:tc>
        <w:tc>
          <w:tcPr>
            <w:tcW w:type="dxa" w:w="1915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+0,0239 ✓</w:t>
            </w:r>
          </w:p>
        </w:tc>
        <w:tc>
          <w:tcPr>
            <w:tcW w:type="dxa" w:w="1915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+0,0042 ✓</w:t>
            </w:r>
          </w:p>
        </w:tc>
        <w:tc>
          <w:tcPr>
            <w:tcW w:type="dxa" w:w="1915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−0,0088 ✓</w:t>
            </w:r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1915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−0,05 a +0,05</w:t>
            </w:r>
          </w:p>
        </w:tc>
      </w:tr>
    </w:tbl>
    <w:p/>
    <w:p>
      <w:r>
        <w:rPr>
          <w:rFonts w:ascii="Arial" w:hAnsi="Arial"/>
        </w:rPr>
      </w:r>
      <w:r>
        <w:rPr>
          <w:rFonts w:ascii="Arial" w:hAnsi="Arial"/>
          <w:b/>
        </w:rPr>
        <w:t>O LightGBM atende a todas as 4 metas IAAO.</w:t>
      </w:r>
      <w:r>
        <w:rPr>
          <w:rFonts w:ascii="Arial" w:hAnsi="Arial"/>
        </w:rPr>
        <w:t xml:space="preserve"> O ganho mais expressivo está no COD — é aí que mora a maior parte dos casos de contestação (imóveis individualmente superavaliados), não na razão mediana.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Equidade por segmento (Etapa 5):</w:t>
      </w:r>
      <w:r>
        <w:rPr>
          <w:rFonts w:ascii="Arial" w:hAnsi="Arial"/>
        </w:rPr>
        <w:t xml:space="preserve"> nos 10 decis de valor, a razão mediana ficou dentro da meta em todos; no recorte por setor fiscal (70 setores com dados suficientes), 100% ficaram com razão mediana na meta e 63 de 70 com COD ≤15%.</w:t>
      </w:r>
    </w:p>
    <w:p/>
    <w:p>
      <w:pPr>
        <w:pStyle w:val="Heading2"/>
      </w:pPr>
      <w:r>
        <w:rPr>
          <w:rFonts w:ascii="Arial" w:hAnsi="Arial"/>
          <w:color w:val="1A3A5C"/>
        </w:rPr>
        <w:t>8. Enquadramento normativo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Modelo</w:t>
            </w:r>
          </w:p>
        </w:tc>
        <w:tc>
          <w:tcPr>
            <w:tcW w:type="dxa" w:w="3192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Enquadramento</w:t>
            </w:r>
          </w:p>
        </w:tc>
        <w:tc>
          <w:tcPr>
            <w:tcW w:type="dxa" w:w="3192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Base normativa</w:t>
            </w:r>
          </w:p>
        </w:tc>
      </w:tr>
      <w:tr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Hedônico (OLS)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Grau II de fundamentação</w:t>
            </w:r>
            <w:r>
              <w:rPr>
                <w:rFonts w:ascii="Arial" w:hAnsi="Arial"/>
                <w:sz w:val="19"/>
              </w:rPr>
              <w:t xml:space="preserve"> (15 pontos, ficou a 1 do Grau III) + </w:t>
            </w:r>
            <w:r>
              <w:rPr>
                <w:rFonts w:ascii="Arial" w:hAnsi="Arial"/>
                <w:b/>
                <w:sz w:val="19"/>
              </w:rPr>
              <w:t>Grau III de precisão</w:t>
            </w:r>
            <w:r>
              <w:rPr>
                <w:rFonts w:ascii="Arial" w:hAnsi="Arial"/>
                <w:sz w:val="19"/>
              </w:rPr>
              <w:t xml:space="preserve"> (amplitude do IC 80% de 2,05%, contra limite de 30%)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NBR 14653-2, Tabelas 1, 2 e 5</w:t>
            </w:r>
          </w:p>
        </w:tc>
      </w:tr>
      <w:tr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LightGBM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Justificado e validado — técnicas de ML são admitidas desde que fundamentadas e validadas, sem especificação em graus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IBAPE/SOBREA 2023, itens 8.1.2/8.1.2.1; validação por CV k=10 + teste holdout conforme IBAPE 7.8.4</w:t>
            </w:r>
          </w:p>
        </w:tc>
      </w:tr>
    </w:tbl>
    <w:p/>
    <w:p>
      <w:r>
        <w:rPr>
          <w:rFonts w:ascii="Arial" w:hAnsi="Arial"/>
        </w:rPr>
        <w:t>O hedônico ficou 1 ponto abaixo do Grau III por causa de 24 dummies de setor fiscal (de 104) com poucos dados — o agrupamento desses setores é a medida identificada para elevar o enquadramento, pendente de aprovação da equipe.</w:t>
      </w:r>
    </w:p>
    <w:p>
      <w:pPr>
        <w:pStyle w:val="Heading3"/>
      </w:pPr>
      <w:r>
        <w:rPr>
          <w:rFonts w:ascii="Arial" w:hAnsi="Arial"/>
          <w:color w:val="1A3A5C"/>
        </w:rPr>
        <w:t>8.1 O modelo vale para ITIV, não só para IPTU?</w:t>
      </w:r>
    </w:p>
    <w:p>
      <w:r>
        <w:rPr>
          <w:rFonts w:ascii="Arial" w:hAnsi="Arial"/>
        </w:rPr>
        <w:t>Sim — com um esclarecimento importante:</w:t>
      </w:r>
    </w:p>
    <w:p>
      <w:pPr>
        <w:pStyle w:val="ListBullet"/>
      </w:pPr>
      <w:r>
        <w:rPr>
          <w:rFonts w:ascii="Arial" w:hAnsi="Arial"/>
        </w:rPr>
        <w:t xml:space="preserve">A NBR 14653-1/2 (base de tudo) </w:t>
      </w:r>
      <w:r>
        <w:rPr>
          <w:rFonts w:ascii="Arial" w:hAnsi="Arial"/>
          <w:b/>
        </w:rPr>
        <w:t>não é específica de nenhum imposto</w:t>
      </w:r>
      <w:r>
        <w:rPr>
          <w:rFonts w:ascii="Arial" w:hAnsi="Arial"/>
        </w:rPr>
        <w:t xml:space="preserve"> — é genérica para avaliação de imóveis urbanos.</w:t>
      </w:r>
    </w:p>
    <w:p>
      <w:pPr>
        <w:pStyle w:val="ListBullet"/>
      </w:pPr>
      <w:r>
        <w:rPr>
          <w:rFonts w:ascii="Arial" w:hAnsi="Arial"/>
        </w:rPr>
        <w:t xml:space="preserve">A IBAPE/SOBREA 2023 tem escopo de "fins tributários </w:t>
      </w:r>
      <w:r>
        <w:rPr>
          <w:rFonts w:ascii="Arial" w:hAnsi="Arial"/>
          <w:b/>
        </w:rPr>
        <w:t>e</w:t>
      </w:r>
      <w:r>
        <w:rPr>
          <w:rFonts w:ascii="Arial" w:hAnsi="Arial"/>
        </w:rPr>
        <w:t xml:space="preserve"> de políticas urbanas" — não é restrita a IPTU. O item </w:t>
      </w:r>
      <w:r>
        <w:rPr>
          <w:rFonts w:ascii="Arial" w:hAnsi="Arial"/>
          <w:b/>
        </w:rPr>
        <w:t>IBAPE 7.2.10</w:t>
      </w:r>
      <w:r>
        <w:rPr>
          <w:rFonts w:ascii="Arial" w:hAnsi="Arial"/>
        </w:rPr>
        <w:t xml:space="preserve">, usado para selecionar a amostra do projeto, já cita a </w:t>
      </w:r>
      <w:r>
        <w:rPr>
          <w:rFonts w:ascii="Arial" w:hAnsi="Arial"/>
          <w:b/>
        </w:rPr>
        <w:t>base do ITBI</w:t>
      </w:r>
      <w:r>
        <w:rPr>
          <w:rFonts w:ascii="Arial" w:hAnsi="Arial"/>
        </w:rPr>
        <w:t xml:space="preserve"> como fonte de dados de mercado recomendada.</w:t>
      </w:r>
    </w:p>
    <w:p>
      <w:pPr>
        <w:pStyle w:val="ListBullet"/>
      </w:pPr>
      <w:r>
        <w:rPr>
          <w:rFonts w:ascii="Arial" w:hAnsi="Arial"/>
        </w:rPr>
      </w:r>
      <w:r>
        <w:rPr>
          <w:rFonts w:ascii="Arial" w:hAnsi="Arial"/>
          <w:b/>
        </w:rPr>
        <w:t>ITIV e ITBI são o mesmo imposto</w:t>
      </w:r>
      <w:r>
        <w:rPr>
          <w:rFonts w:ascii="Arial" w:hAnsi="Arial"/>
        </w:rPr>
        <w:t xml:space="preserve"> (Imposto sobre Transmissão de Bens Imóveis inter vivos, art. 156, II da CF) — "ITBI" é o nome usado na maioria dos municípios; "ITIV" é a nomenclatura local de Salvador para o mesmo tributo. Quando a norma fala em ITBI, está falando do ITIV.</w:t>
      </w:r>
    </w:p>
    <w:p>
      <w:pPr>
        <w:pStyle w:val="ListBullet"/>
      </w:pPr>
      <w:r>
        <w:rPr>
          <w:rFonts w:ascii="Arial" w:hAnsi="Arial"/>
        </w:rPr>
        <w:t xml:space="preserve">O único dispositivo genuinamente restrito a IPTU é o </w:t>
      </w:r>
      <w:r>
        <w:rPr>
          <w:rFonts w:ascii="Arial" w:hAnsi="Arial"/>
          <w:b/>
        </w:rPr>
        <w:t>coeficiente de segurança de 70–90%</w:t>
      </w:r>
      <w:r>
        <w:rPr>
          <w:rFonts w:ascii="Arial" w:hAnsi="Arial"/>
        </w:rPr>
        <w:t xml:space="preserve"> (IBAPE 7.9.2). Isso já está identificado e documentado como decisão própria da equipe — o projeto não aplica esse coeficiente automaticamente; adotou em seu lugar o nível de confiança de 90% via *quantile regression* (D5), com metodologia e justificativa próprias.</w:t>
      </w:r>
    </w:p>
    <w:p/>
    <w:p>
      <w:pPr>
        <w:pStyle w:val="Heading2"/>
      </w:pPr>
      <w:r>
        <w:rPr>
          <w:rFonts w:ascii="Arial" w:hAnsi="Arial"/>
          <w:color w:val="1A3A5C"/>
        </w:rPr>
        <w:t>9. Sinalização de contribuintes — nível de confiança (D5)</w:t>
      </w:r>
    </w:p>
    <w:p>
      <w:r>
        <w:rPr>
          <w:rFonts w:ascii="Arial" w:hAnsi="Arial"/>
        </w:rPr>
        <w:t>Calculado sobre o teste final, com intervalos de predição do LightGBM (*quantile regression*):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Confiança</w:t>
            </w:r>
          </w:p>
        </w:tc>
        <w:tc>
          <w:tcPr>
            <w:tcW w:type="dxa" w:w="3192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Sinalizados</w:t>
            </w:r>
          </w:p>
        </w:tc>
        <w:tc>
          <w:tcPr>
            <w:tcW w:type="dxa" w:w="3192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% dos contribuintes</w:t>
            </w:r>
          </w:p>
        </w:tc>
      </w:tr>
      <w:tr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95%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1.022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11,0%</w:t>
            </w:r>
          </w:p>
        </w:tc>
      </w:tr>
      <w:tr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90% (decidido)</w:t>
            </w:r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1.596</w:t>
            </w:r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17,2%</w:t>
            </w:r>
            <w:r>
              <w:rPr>
                <w:rFonts w:ascii="Arial" w:hAnsi="Arial"/>
                <w:sz w:val="19"/>
              </w:rPr>
            </w:r>
          </w:p>
        </w:tc>
      </w:tr>
      <w:tr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85%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2.101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22,6%</w:t>
            </w:r>
          </w:p>
        </w:tc>
      </w:tr>
      <w:tr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80%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2.554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27,5%</w:t>
            </w:r>
          </w:p>
        </w:tc>
      </w:tr>
      <w:tr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75%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2.982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32,1%</w:t>
            </w:r>
          </w:p>
        </w:tc>
      </w:tr>
    </w:tbl>
    <w:p/>
    <w:p>
      <w:r>
        <w:rPr>
          <w:rFonts w:ascii="Arial" w:hAnsi="Arial"/>
        </w:rPr>
        <w:t>Quanto maior o nível de confiança, mais larga a faixa de predição — e menos contribuintes caem fora dela. A equipe decidiu 90% já com o COD do modelo novo em mãos.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Regra de decisão:</w:t>
      </w:r>
      <w:r>
        <w:rPr>
          <w:rFonts w:ascii="Arial" w:hAnsi="Arial"/>
        </w:rPr>
        <w:t xml:space="preserve"> compara-se o valor declarado com o </w:t>
      </w:r>
      <w:r>
        <w:rPr>
          <w:rFonts w:ascii="Arial" w:hAnsi="Arial"/>
          <w:b/>
        </w:rPr>
        <w:t>limite inferior</w:t>
      </w:r>
      <w:r>
        <w:rPr>
          <w:rFonts w:ascii="Arial" w:hAnsi="Arial"/>
        </w:rPr>
        <w:t xml:space="preserve"> da faixa (não com a estimativa central) — decisão que evita alarme falso para vendas um pouco abaixo da média.</w:t>
      </w:r>
    </w:p>
    <w:p/>
    <w:p>
      <w:pPr>
        <w:pStyle w:val="Heading2"/>
      </w:pPr>
      <w:r>
        <w:rPr>
          <w:rFonts w:ascii="Arial" w:hAnsi="Arial"/>
          <w:color w:val="1A3A5C"/>
        </w:rPr>
        <w:t>10. Exemplo ilustrativo de avaliação (números hipotéticos, não são uma transação real da base)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Característica de entrada</w:t>
            </w:r>
          </w:p>
        </w:tc>
        <w:tc>
          <w:tcPr>
            <w:tcW w:type="dxa" w:w="4788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Área privativa</w:t>
            </w:r>
          </w:p>
        </w:tc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72 m²</w:t>
            </w:r>
          </w:p>
        </w:tc>
      </w:tr>
      <w:tr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Setor fiscal</w:t>
            </w:r>
          </w:p>
        </w:tc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Padrão médio-alto (ex.: Pituba)</w:t>
            </w:r>
          </w:p>
        </w:tc>
      </w:tr>
      <w:tr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Nº de pavimentos do prédio</w:t>
            </w:r>
          </w:p>
        </w:tc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15</w:t>
            </w:r>
          </w:p>
        </w:tc>
      </w:tr>
      <w:tr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Andar da unidade</w:t>
            </w:r>
          </w:p>
        </w:tc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8º (informado)</w:t>
            </w:r>
          </w:p>
        </w:tc>
      </w:tr>
    </w:tbl>
    <w:p/>
    <w:p>
      <w:r>
        <w:rPr>
          <w:rFonts w:ascii="Arial" w:hAnsi="Arial"/>
        </w:rPr>
      </w:r>
      <w:r>
        <w:rPr>
          <w:rFonts w:ascii="Arial" w:hAnsi="Arial"/>
          <w:b/>
        </w:rPr>
        <w:t>Saída do modelo (faixa, não número único):</w:t>
      </w:r>
      <w:r>
        <w:rPr>
          <w:rFonts w:ascii="Arial" w:hAnsi="Arial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</w:r>
          </w:p>
        </w:tc>
        <w:tc>
          <w:tcPr>
            <w:tcW w:type="dxa" w:w="4788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Limite inferior (90% de confiança)</w:t>
            </w:r>
          </w:p>
        </w:tc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R$ 410.000</w:t>
            </w:r>
          </w:p>
        </w:tc>
      </w:tr>
      <w:tr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Estimativa central</w:t>
            </w:r>
          </w:p>
        </w:tc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R$ 460.000</w:t>
            </w:r>
          </w:p>
        </w:tc>
      </w:tr>
      <w:tr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Limite superior (90% de confiança)</w:t>
            </w:r>
          </w:p>
        </w:tc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R$ 515.000</w:t>
            </w:r>
          </w:p>
        </w:tc>
      </w:tr>
    </w:tbl>
    <w:p/>
    <w:p>
      <w:pPr>
        <w:pStyle w:val="ListBullet"/>
      </w:pPr>
      <w:r>
        <w:rPr>
          <w:rFonts w:ascii="Arial" w:hAnsi="Arial"/>
        </w:rPr>
      </w:r>
      <w:r>
        <w:rPr>
          <w:rFonts w:ascii="Arial" w:hAnsi="Arial"/>
          <w:b/>
        </w:rPr>
        <w:t>Declarado R$ 430.000</w:t>
      </w:r>
      <w:r>
        <w:rPr>
          <w:rFonts w:ascii="Arial" w:hAnsi="Arial"/>
        </w:rPr>
        <w:t xml:space="preserve"> → dentro da faixa (≥ limite inferior) → nada acontece, ITIV calculado normalmente. É o desfecho mais comum (~83% dos casos).</w:t>
      </w:r>
    </w:p>
    <w:p>
      <w:pPr>
        <w:pStyle w:val="ListBullet"/>
      </w:pPr>
      <w:r>
        <w:rPr>
          <w:rFonts w:ascii="Arial" w:hAnsi="Arial"/>
        </w:rPr>
      </w:r>
      <w:r>
        <w:rPr>
          <w:rFonts w:ascii="Arial" w:hAnsi="Arial"/>
          <w:b/>
        </w:rPr>
        <w:t>Declarado R$ 340.000</w:t>
      </w:r>
      <w:r>
        <w:rPr>
          <w:rFonts w:ascii="Arial" w:hAnsi="Arial"/>
        </w:rPr>
        <w:t xml:space="preserve"> (hipótese alternativa) → abaixo do limite inferior → transação </w:t>
      </w:r>
      <w:r>
        <w:rPr>
          <w:rFonts w:ascii="Arial" w:hAnsi="Arial"/>
          <w:b/>
        </w:rPr>
        <w:t>sinalizada</w:t>
      </w:r>
      <w:r>
        <w:rPr>
          <w:rFonts w:ascii="Arial" w:hAnsi="Arial"/>
        </w:rPr>
        <w:t xml:space="preserve"> para um auditor humano revisar. Não gera autuação automática — o auditor decide se há justificativa (venda entre parentes, imóvel com problema não cadastrado, erro de digitação) ou se de fato há subdeclaração.</w:t>
      </w:r>
    </w:p>
    <w:p>
      <w:r>
        <w:rPr>
          <w:rFonts w:ascii="Arial" w:hAnsi="Arial"/>
        </w:rPr>
        <w:t>Em paralelo, o hedônico calcula sua própria estimativa para o mesmo imóvel, com pesos explícitos e auditáveis; divergência grande entre os dois modelos nesse imóvel específico é um alerta adicional.</w:t>
      </w:r>
    </w:p>
    <w:p/>
    <w:p>
      <w:pPr>
        <w:pStyle w:val="Heading2"/>
      </w:pPr>
      <w:r>
        <w:rPr>
          <w:rFonts w:ascii="Arial" w:hAnsi="Arial"/>
          <w:color w:val="1A3A5C"/>
        </w:rPr>
        <w:t>11. Argumentos para apresentar à administração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Estrutura recomendada do argumento:</w:t>
      </w:r>
      <w:r>
        <w:rPr>
          <w:rFonts w:ascii="Arial" w:hAnsi="Arial"/>
        </w:rPr>
      </w:r>
    </w:p>
    <w:p>
      <w:pPr>
        <w:pStyle w:val="ListNumber"/>
      </w:pPr>
      <w:r>
        <w:rPr>
          <w:rFonts w:ascii="Arial" w:hAnsi="Arial"/>
        </w:rPr>
        <w:t>O problema é quantificado, não abstrato: o valor venal atual tem razão mediana de 0,851 — subavaliação sistemática, exatamente o tipo de fragilidade que sustenta contestação e perda de receita.</w:t>
      </w:r>
    </w:p>
    <w:p>
      <w:pPr>
        <w:pStyle w:val="ListNumber"/>
      </w:pPr>
      <w:r>
        <w:rPr>
          <w:rFonts w:ascii="Arial" w:hAnsi="Arial"/>
        </w:rPr>
        <w:t>A solução é testada contra o que já existe (tabela da seção 7), não contra o vazio.</w:t>
      </w:r>
    </w:p>
    <w:p>
      <w:pPr>
        <w:pStyle w:val="ListNumber"/>
      </w:pPr>
      <w:r>
        <w:rPr>
          <w:rFonts w:ascii="Arial" w:hAnsi="Arial"/>
        </w:rPr>
        <w:t>A validação é por norma reconhecida — o modelo não depende de "confiança no cientista de dados": passa em critérios de terceiros (NBR 14653-2, IBAPE/SOBREA, IAAO), com holdout nunca tocado, CV k=10, e convergência entre 4 famílias de algoritmo (não é só o LightGBM que funciona).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Objeções antecipadas:</w:t>
      </w:r>
      <w:r>
        <w:rPr>
          <w:rFonts w:ascii="Arial" w:hAnsi="Arial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Objeção</w:t>
            </w:r>
          </w:p>
        </w:tc>
        <w:tc>
          <w:tcPr>
            <w:tcW w:type="dxa" w:w="4788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Resposta</w:t>
            </w:r>
          </w:p>
        </w:tc>
      </w:tr>
      <w:tr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"É caixa-preta"</w:t>
            </w:r>
          </w:p>
        </w:tc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Hedônico ao lado, com testes estatísticos completos, mostra que a direção do resultado é a mesma com um método interpretável</w:t>
            </w:r>
          </w:p>
        </w:tc>
      </w:tr>
      <w:tr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"Vai automatizar autuação"</w:t>
            </w:r>
          </w:p>
        </w:tc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Não — é sinalização (17,2% dos casos), avaliação individual segue humana</w:t>
            </w:r>
          </w:p>
        </w:tc>
      </w:tr>
      <w:tr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"Pode discriminar bairro/faixa de valor"</w:t>
            </w:r>
          </w:p>
        </w:tc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Testado por decil e por setor fiscal — meta atendida na quase totalidade dos segmentos</w:t>
            </w:r>
          </w:p>
        </w:tc>
      </w:tr>
      <w:tr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"Não é reprodutível"</w:t>
            </w:r>
          </w:p>
        </w:tc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Manifesto SHA-256 de dados, scripts e semente — auditoria externa reproduz o mesmo resultado</w:t>
            </w:r>
          </w:p>
        </w:tc>
      </w:tr>
      <w:tr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"Só a equipe validou"</w:t>
            </w:r>
          </w:p>
        </w:tc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Enquadramento formal na norma (Grau II/III), não é autoavaliação</w:t>
            </w:r>
          </w:p>
        </w:tc>
      </w:tr>
    </w:tbl>
    <w:p/>
    <w:p/>
    <w:p>
      <w:pPr>
        <w:pStyle w:val="Heading2"/>
      </w:pPr>
      <w:r>
        <w:rPr>
          <w:rFonts w:ascii="Arial" w:hAnsi="Arial"/>
          <w:color w:val="1A3A5C"/>
        </w:rPr>
        <w:t>12. Pendências e próximos passos</w:t>
      </w:r>
    </w:p>
    <w:p>
      <w:pPr>
        <w:pStyle w:val="ListNumber"/>
      </w:pPr>
      <w:r>
        <w:rPr>
          <w:rFonts w:ascii="Arial" w:hAnsi="Arial"/>
        </w:rPr>
        <w:t>Aprovação formal do modelo (D4) pela equipe.</w:t>
      </w:r>
    </w:p>
    <w:p>
      <w:pPr>
        <w:pStyle w:val="ListNumber"/>
      </w:pPr>
      <w:r>
        <w:rPr>
          <w:rFonts w:ascii="Arial" w:hAnsi="Arial"/>
        </w:rPr>
        <w:t>Agrupar setores fiscais com poucos dados, para tentar elevar o hedônico ao Grau III de fundamentação.</w:t>
      </w:r>
    </w:p>
    <w:p>
      <w:pPr>
        <w:pStyle w:val="ListNumber"/>
      </w:pPr>
      <w:r>
        <w:rPr>
          <w:rFonts w:ascii="Arial" w:hAnsi="Arial"/>
        </w:rPr>
        <w:t>Investigar os 4 pontos de maior influência (distância de Cook) no hedônico.</w:t>
      </w:r>
    </w:p>
    <w:p>
      <w:pPr>
        <w:pStyle w:val="ListNumber"/>
      </w:pPr>
      <w:r>
        <w:rPr>
          <w:rFonts w:ascii="Arial" w:hAnsi="Arial"/>
        </w:rPr>
        <w:t>Levantar dados institucionais do cadastro (itens 1–3 da Tabela IBAPE) para o enquadramento geral do trabalho.</w:t>
      </w:r>
    </w:p>
    <w:p>
      <w:pPr>
        <w:pStyle w:val="ListNumber"/>
      </w:pPr>
      <w:r>
        <w:rPr>
          <w:rFonts w:ascii="Arial" w:hAnsi="Arial"/>
        </w:rPr>
        <w:t>Testar equidade (COD) por sub-região dentro de setores fiscais heterogêneos (ex.: Pituba) — ainda não feito.</w:t>
      </w:r>
    </w:p>
    <w:p>
      <w:pPr>
        <w:pStyle w:val="ListNumber"/>
      </w:pPr>
      <w:r>
        <w:rPr>
          <w:rFonts w:ascii="Arial" w:hAnsi="Arial"/>
        </w:rPr>
        <w:t>Planejar entrada em produção, com monitoramento de extrapolação (IBAPE 8.1.1.1) e desempenho anual (IBAPE 7.12).</w:t>
      </w:r>
    </w:p>
    <w:p/>
    <w:p>
      <w:r>
        <w:rPr>
          <w:rFonts w:ascii="Arial" w:hAnsi="Arial"/>
          <w:i/>
          <w:color w:val="666666"/>
          <w:sz w:val="19"/>
        </w:rPr>
        <w:t>Documento compilado a partir de sessão de perguntas e respostas com a equipe, com base em: `REGISTRO_ETAPAS_APROVACAO.md`, `Relatorio_Etapa4_Treino_Modelo_Apartamentos_20260714.docx`, `Relatorio_Etapa5_Validacao_Normativa_20260714.docx`, `FUNDAMENTACAO_NORMATIVA.md`, `Lista_Final_Parametros_Apartamentos.md` e `Decisoes_Consistencia_Modelo_Apartamentos.md`. Não substitui nenhum desses documentos — organiza o conteúdo já aprovado/em aprovação de forma didática.</w:t>
      </w:r>
    </w:p>
    <w:sectPr w:rsidR="00FC693F" w:rsidRPr="0006063C" w:rsidSect="00034616">
      <w:footerReference w:type="default" r:id="rId9"/>
      <w:pgSz w:w="12240" w:h="15840"/>
      <w:pgMar w:top="1247" w:right="124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888888"/>
        <w:sz w:val="16"/>
      </w:rPr>
      <w:t>Coordenadoria de Inteligência Fiscal — SEFAZ Salvador | Julho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