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A3A5C"/>
        </w:rPr>
        <w:t>Fundamentação Normativa — Avaliação em Massa de Imóveis para o ITIV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Coordenadoria de Inteligência Fiscal — SEFAZ Salvador</w:t>
      </w:r>
      <w:r>
        <w:rPr>
          <w:rFonts w:ascii="Arial" w:hAnsi="Arial"/>
        </w:rPr>
      </w:r>
    </w:p>
    <w:p>
      <w:r>
        <w:rPr>
          <w:rFonts w:ascii="Arial" w:hAnsi="Arial"/>
        </w:rPr>
      </w:r>
      <w:r>
        <w:rPr>
          <w:rFonts w:ascii="Arial" w:hAnsi="Arial"/>
          <w:b/>
        </w:rPr>
        <w:t>Junho de 2026</w:t>
      </w:r>
      <w:r>
        <w:rPr>
          <w:rFonts w:ascii="Arial" w:hAnsi="Arial"/>
        </w:rPr>
      </w:r>
    </w:p>
    <w:p>
      <w:r>
        <w:rPr>
          <w:rFonts w:ascii="Arial" w:hAnsi="Arial"/>
        </w:rPr>
        <w:t>Este documento reúne as normas técnicas que fundamentam cada decisão metodológica</w:t>
      </w:r>
    </w:p>
    <w:p>
      <w:r>
        <w:rPr>
          <w:rFonts w:ascii="Arial" w:hAnsi="Arial"/>
        </w:rPr>
        <w:t>do projeto de avaliação em massa dos imóveis de Salvador, com citação direta dos</w:t>
      </w:r>
    </w:p>
    <w:p>
      <w:r>
        <w:rPr>
          <w:rFonts w:ascii="Arial" w:hAnsi="Arial"/>
        </w:rPr>
        <w:t>dispositivos aplicados.</w:t>
      </w:r>
    </w:p>
    <w:p/>
    <w:p>
      <w:pPr>
        <w:pStyle w:val="Heading2"/>
      </w:pPr>
      <w:r>
        <w:rPr>
          <w:rFonts w:ascii="Arial" w:hAnsi="Arial"/>
          <w:color w:val="1A3A5C"/>
        </w:rPr>
        <w:t>1. Normas de referência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Norma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ABNT NBR 14653-1:2019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Avaliação de bens — Procedimentos gerais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ABNT NBR 14653-2:2011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Avaliação de bens — Imóveis urbanos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IBAPE/SOBREA (2023)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Avaliação em massa para fins tributários e de políticas urbanas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IAAO (2017)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Standard on Mass Appraisal of Real Property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IAAO (2013)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Standard on Ratio Studies</w:t>
            </w:r>
          </w:p>
        </w:tc>
      </w:tr>
    </w:tbl>
    <w:p/>
    <w:p>
      <w:pPr>
        <w:ind w:left="454"/>
      </w:pPr>
      <w:r>
        <w:rPr>
          <w:rFonts w:ascii="Arial" w:hAnsi="Arial"/>
          <w:i/>
          <w:color w:val="444444"/>
          <w:sz w:val="20"/>
        </w:rPr>
        <w:t>A norma IBAPE/SOBREA detalha, para fins tributários, os procedimentos gerais da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ABNT NBR 14653-1 (IBAPE, item 1 — Escopo).</w:t>
      </w:r>
    </w:p>
    <w:p/>
    <w:p>
      <w:pPr>
        <w:pStyle w:val="Heading2"/>
      </w:pPr>
      <w:r>
        <w:rPr>
          <w:rFonts w:ascii="Arial" w:hAnsi="Arial"/>
          <w:color w:val="1A3A5C"/>
        </w:rPr>
        <w:t>2. Seleção dos dados de mercado</w:t>
      </w:r>
    </w:p>
    <w:p>
      <w:pPr>
        <w:pStyle w:val="Heading3"/>
      </w:pPr>
      <w:r>
        <w:rPr>
          <w:rFonts w:ascii="Arial" w:hAnsi="Arial"/>
          <w:color w:val="1A3A5C"/>
        </w:rPr>
        <w:t>2.1 Quais transações usar (base do ITIV)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7.2.10: "Recomenda-se que a base de dados do ITBI seja uma das fontes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de dados de preços de venda, com a utilização exclusiva de dados sobre transações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nas quais os preços declarados pelos contribuintes sejam representativos do valor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de mercado."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7.2.11: critérios de seleção: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(a) incluir transações com financiamento;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(b) incluir apenas casos nos quais o percentual transmitido é igual a 100%;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(c) não incluir arrematação em hasta pública, desapropriação quando não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reflitam condições normais de compra e venda.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Aplicação no projeto:</w:t>
      </w:r>
      <w:r>
        <w:rPr>
          <w:rFonts w:ascii="Arial" w:hAnsi="Arial"/>
        </w:rPr>
      </w:r>
    </w:p>
    <w:p>
      <w:pPr>
        <w:pStyle w:val="ListBullet"/>
      </w:pPr>
      <w:r>
        <w:rPr>
          <w:rFonts w:ascii="Arial" w:hAnsi="Arial"/>
        </w:rPr>
        <w:t>Mantidas só "Compra e Venda" e "Compra e venda de garagem"</w:t>
      </w:r>
    </w:p>
    <w:p>
      <w:pPr>
        <w:pStyle w:val="ListBullet"/>
      </w:pPr>
      <w:r>
        <w:rPr>
          <w:rFonts w:ascii="Arial" w:hAnsi="Arial"/>
        </w:rPr>
        <w:t>Excluídas: arrematação, permuta, dação, adjudicação, fiduciária, incorporação,</w:t>
      </w:r>
    </w:p>
    <w:p>
      <w:r>
        <w:rPr>
          <w:rFonts w:ascii="Arial" w:hAnsi="Arial"/>
        </w:rPr>
        <w:t xml:space="preserve">  isenção/imunidade e resultados de impugnação do VVA</w:t>
      </w:r>
    </w:p>
    <w:p>
      <w:pPr>
        <w:pStyle w:val="ListBullet"/>
      </w:pPr>
      <w:r>
        <w:rPr>
          <w:rFonts w:ascii="Arial" w:hAnsi="Arial"/>
        </w:rPr>
        <w:t>Mantidas só transmissões de 100% da fração</w:t>
      </w:r>
    </w:p>
    <w:p>
      <w:pPr>
        <w:pStyle w:val="ListBullet"/>
      </w:pPr>
      <w:r>
        <w:rPr>
          <w:rFonts w:ascii="Arial" w:hAnsi="Arial"/>
        </w:rPr>
        <w:t>Resultado: 121.932 transações (de 148.811 brutas)</w:t>
      </w:r>
    </w:p>
    <w:p>
      <w:pPr>
        <w:pStyle w:val="Heading3"/>
      </w:pPr>
      <w:r>
        <w:rPr>
          <w:rFonts w:ascii="Arial" w:hAnsi="Arial"/>
          <w:color w:val="1A3A5C"/>
        </w:rPr>
        <w:t>2.2 Verificação de confiabilidade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7.2.14: "Recomenda-se que os dados sejam verificados, de forma a garantir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sua confiabilidade em relação ao preço e data do evento."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Aplicação:</w:t>
      </w:r>
      <w:r>
        <w:rPr>
          <w:rFonts w:ascii="Arial" w:hAnsi="Arial"/>
        </w:rPr>
        <w:t xml:space="preserve"> datas inválidas recuperadas por registro/lavratura/assinatura;</w:t>
      </w:r>
    </w:p>
    <w:p>
      <w:r>
        <w:rPr>
          <w:rFonts w:ascii="Arial" w:hAnsi="Arial"/>
        </w:rPr>
        <w:t>descartadas só as sem nenhuma data válida (61 linhas).</w:t>
      </w:r>
    </w:p>
    <w:p/>
    <w:p>
      <w:pPr>
        <w:pStyle w:val="Heading2"/>
      </w:pPr>
      <w:r>
        <w:rPr>
          <w:rFonts w:ascii="Arial" w:hAnsi="Arial"/>
          <w:color w:val="1A3A5C"/>
        </w:rPr>
        <w:t>3. Tratamento e consistência dos dados</w:t>
      </w:r>
    </w:p>
    <w:p>
      <w:pPr>
        <w:pStyle w:val="Heading3"/>
      </w:pPr>
      <w:r>
        <w:rPr>
          <w:rFonts w:ascii="Arial" w:hAnsi="Arial"/>
          <w:color w:val="1A3A5C"/>
        </w:rPr>
        <w:t>3.1 Análise exploratória e saneamento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7.6.6: "Recomenda-se que as análises exploratórias preliminares abranjam,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além das técnicas estatísticas clássicas, as de natureza espacial (...) para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identificar casos atípicos (outliers espaciais) (...) ou sanar erros oriundos da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etapa de coleta e armazenamento dos dados."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NBR 14653-2:2011 (item B.3 — Saneamento da amostra), texto literal: "Após a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homogeneização, devem ser utilizados critérios estatísticos consagrados de eliminação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de dados discrepantes, para o saneamento da amostra. Os dados discrepantes devem ser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retirados um a um, com início pelo que esteja mais distante da média. Admite-se a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reintrodução de dados (...)."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Observação importante:</w:t>
      </w:r>
      <w:r>
        <w:rPr>
          <w:rFonts w:ascii="Arial" w:hAnsi="Arial"/>
        </w:rPr>
        <w:t xml:space="preserve"> a NBR 14653-2 </w:t>
      </w:r>
      <w:r>
        <w:rPr>
          <w:rFonts w:ascii="Arial" w:hAnsi="Arial"/>
          <w:b/>
        </w:rPr>
        <w:t>não nomeia</w:t>
      </w:r>
      <w:r>
        <w:rPr>
          <w:rFonts w:ascii="Arial" w:hAnsi="Arial"/>
        </w:rPr>
        <w:t xml:space="preserve"> o critério de Chauvenet (nem</w:t>
      </w:r>
    </w:p>
    <w:p>
      <w:r>
        <w:rPr>
          <w:rFonts w:ascii="Arial" w:hAnsi="Arial"/>
        </w:rPr>
        <w:t>nenhum outro específico) — exige apenas "critérios estatísticos consagrados" e o</w:t>
      </w:r>
    </w:p>
    <w:p>
      <w:r>
        <w:rPr>
          <w:rFonts w:ascii="Arial" w:hAnsi="Arial"/>
        </w:rPr>
        <w:t xml:space="preserve">procedimento </w:t>
      </w:r>
      <w:r>
        <w:rPr>
          <w:rFonts w:ascii="Arial" w:hAnsi="Arial"/>
          <w:b/>
        </w:rPr>
        <w:t>iterativo</w:t>
      </w:r>
      <w:r>
        <w:rPr>
          <w:rFonts w:ascii="Arial" w:hAnsi="Arial"/>
        </w:rPr>
        <w:t xml:space="preserve"> (um a um, do mais distante da média). O critério de Chauvenet</w:t>
      </w:r>
    </w:p>
    <w:p>
      <w:r>
        <w:rPr>
          <w:rFonts w:ascii="Arial" w:hAnsi="Arial"/>
        </w:rPr>
        <w:t xml:space="preserve">é uma escolha </w:t>
      </w:r>
      <w:r>
        <w:rPr>
          <w:rFonts w:ascii="Arial" w:hAnsi="Arial"/>
          <w:b/>
        </w:rPr>
        <w:t>compatível</w:t>
      </w:r>
      <w:r>
        <w:rPr>
          <w:rFonts w:ascii="Arial" w:hAnsi="Arial"/>
        </w:rPr>
        <w:t xml:space="preserve"> com essa exigência, mas não é "recomendado pela norma" no</w:t>
      </w:r>
    </w:p>
    <w:p>
      <w:r>
        <w:rPr>
          <w:rFonts w:ascii="Arial" w:hAnsi="Arial"/>
        </w:rPr>
        <w:t>sentido literal.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Aplicação no projeto:</w:t>
      </w:r>
      <w:r>
        <w:rPr>
          <w:rFonts w:ascii="Arial" w:hAnsi="Arial"/>
        </w:rPr>
        <w:t xml:space="preserve"> validação de consistência (incompletos, incompatíveis,</w:t>
      </w:r>
    </w:p>
    <w:p>
      <w:r>
        <w:rPr>
          <w:rFonts w:ascii="Arial" w:hAnsi="Arial"/>
        </w:rPr>
        <w:t xml:space="preserve">duplicidades) executada </w:t>
      </w:r>
      <w:r>
        <w:rPr>
          <w:rFonts w:ascii="Arial" w:hAnsi="Arial"/>
          <w:b/>
        </w:rPr>
        <w:t>sem exclusão</w:t>
      </w:r>
      <w:r>
        <w:rPr>
          <w:rFonts w:ascii="Arial" w:hAnsi="Arial"/>
        </w:rPr>
        <w:t xml:space="preserve"> — Etapa 2. Tratamento de outliers comparou</w:t>
      </w:r>
    </w:p>
    <w:p>
      <w:r>
        <w:rPr>
          <w:rFonts w:ascii="Arial" w:hAnsi="Arial"/>
        </w:rPr>
        <w:t>Z-Score, IQR, Mahalanobis e Chauvenet; recomendação técnica por Chauvenet, a ser</w:t>
      </w:r>
    </w:p>
    <w:p>
      <w:r>
        <w:rPr>
          <w:rFonts w:ascii="Arial" w:hAnsi="Arial"/>
        </w:rPr>
        <w:t xml:space="preserve">aplicado de forma </w:t>
      </w:r>
      <w:r>
        <w:rPr>
          <w:rFonts w:ascii="Arial" w:hAnsi="Arial"/>
          <w:b/>
        </w:rPr>
        <w:t>iterativa</w:t>
      </w:r>
      <w:r>
        <w:rPr>
          <w:rFonts w:ascii="Arial" w:hAnsi="Arial"/>
        </w:rPr>
        <w:t xml:space="preserve"> conforme o procedimento da NBR 14653-2 B.3, **somente</w:t>
      </w:r>
    </w:p>
    <w:p>
      <w:r>
        <w:rPr>
          <w:rFonts w:ascii="Arial" w:hAnsi="Arial"/>
        </w:rPr>
        <w:t>na amostra de treino**.</w:t>
      </w:r>
    </w:p>
    <w:p>
      <w:pPr>
        <w:pStyle w:val="Heading3"/>
      </w:pPr>
      <w:r>
        <w:rPr>
          <w:rFonts w:ascii="Arial" w:hAnsi="Arial"/>
          <w:color w:val="1A3A5C"/>
        </w:rPr>
        <w:t>3.2 Limites das variáveis — princípio central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7.6.7: "Recomenda-se que os limites das variáveis relacionadas aos imóveis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que integram a amostra de dados sejam compatíveis com as características do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universo de imóveis a avaliar."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7.9.1: "As estimativas de valor serão resultantes da aplicação do(s)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modelo(s) de avaliação desenvolvido(s) ao universo de imóveis a ser avaliado."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Interpretação aplicada:</w:t>
      </w:r>
      <w:r>
        <w:rPr>
          <w:rFonts w:ascii="Arial" w:hAnsi="Arial"/>
        </w:rPr>
        <w:t xml:space="preserve"> limites (área, valor) valem </w:t>
      </w:r>
      <w:r>
        <w:rPr>
          <w:rFonts w:ascii="Arial" w:hAnsi="Arial"/>
          <w:b/>
        </w:rPr>
        <w:t>somente</w:t>
      </w:r>
      <w:r>
        <w:rPr>
          <w:rFonts w:ascii="Arial" w:hAnsi="Arial"/>
        </w:rPr>
        <w:t xml:space="preserve"> para a amostra de</w:t>
      </w:r>
    </w:p>
    <w:p>
      <w:r>
        <w:rPr>
          <w:rFonts w:ascii="Arial" w:hAnsi="Arial"/>
        </w:rPr>
        <w:t xml:space="preserve">TREINO. Na </w:t>
      </w:r>
      <w:r>
        <w:rPr>
          <w:rFonts w:ascii="Arial" w:hAnsi="Arial"/>
          <w:b/>
        </w:rPr>
        <w:t>inferência</w:t>
      </w:r>
      <w:r>
        <w:rPr>
          <w:rFonts w:ascii="Arial" w:hAnsi="Arial"/>
        </w:rPr>
        <w:t xml:space="preserve">, o modelo avalia </w:t>
      </w:r>
      <w:r>
        <w:rPr>
          <w:rFonts w:ascii="Arial" w:hAnsi="Arial"/>
          <w:b/>
        </w:rPr>
        <w:t>todos</w:t>
      </w:r>
      <w:r>
        <w:rPr>
          <w:rFonts w:ascii="Arial" w:hAnsi="Arial"/>
        </w:rPr>
        <w:t xml:space="preserve"> os imóveis, sem filtro. Imóveis</w:t>
      </w:r>
    </w:p>
    <w:p>
      <w:r>
        <w:rPr>
          <w:rFonts w:ascii="Arial" w:hAnsi="Arial"/>
        </w:rPr>
        <w:t xml:space="preserve">atípicos são </w:t>
      </w:r>
      <w:r>
        <w:rPr>
          <w:rFonts w:ascii="Arial" w:hAnsi="Arial"/>
          <w:b/>
        </w:rPr>
        <w:t>sinalizados</w:t>
      </w:r>
      <w:r>
        <w:rPr>
          <w:rFonts w:ascii="Arial" w:hAnsi="Arial"/>
        </w:rPr>
        <w:t xml:space="preserve"> para avaliação individual (ver 4.2), nunca excluídos.</w:t>
      </w:r>
    </w:p>
    <w:p/>
    <w:p>
      <w:pPr>
        <w:pStyle w:val="Heading2"/>
      </w:pPr>
      <w:r>
        <w:rPr>
          <w:rFonts w:ascii="Arial" w:hAnsi="Arial"/>
          <w:color w:val="1A3A5C"/>
        </w:rPr>
        <w:t>4. Modelagem</w:t>
      </w:r>
    </w:p>
    <w:p>
      <w:pPr>
        <w:pStyle w:val="Heading3"/>
      </w:pPr>
      <w:r>
        <w:rPr>
          <w:rFonts w:ascii="Arial" w:hAnsi="Arial"/>
          <w:color w:val="1A3A5C"/>
        </w:rPr>
        <w:t>4.1 Método e segmentação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7.3.1: "Para a identificação do valor de mercado, sempre que possível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preferir o método comparativo direto de dados de mercado."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7.3.2: "Recomenda-se o desenvolvimento de modelos específicos para cada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segmento imobiliário."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7.6.2: admite amostra única com variável que identifique o segmento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quando não há dados suficientes por segmento.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Aplicação:</w:t>
      </w:r>
      <w:r>
        <w:rPr>
          <w:rFonts w:ascii="Arial" w:hAnsi="Arial"/>
        </w:rPr>
        <w:t xml:space="preserve"> modelos por grupo (Apartamento, Casa, Comercial, Terreno); segmentos</w:t>
      </w:r>
    </w:p>
    <w:p>
      <w:r>
        <w:rPr>
          <w:rFonts w:ascii="Arial" w:hAnsi="Arial"/>
        </w:rPr>
        <w:t>pequenos (Box, Galpão, etc.) agrupados.</w:t>
      </w:r>
    </w:p>
    <w:p>
      <w:pPr>
        <w:pStyle w:val="Heading3"/>
      </w:pPr>
      <w:r>
        <w:rPr>
          <w:rFonts w:ascii="Arial" w:hAnsi="Arial"/>
          <w:color w:val="1A3A5C"/>
        </w:rPr>
        <w:t>4.2 Imóveis atípicos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7.1.3(a): "Recomenda-se o uso de avaliações individuais para avaliar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imóveis atípicos, cujo valor não possa ser estimado com grau aceitável de acurácia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por intermédio de modelos genéricos (shopping centers, hospitais, aeroportos,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imóveis históricos, etc.)."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Aplicação:</w:t>
      </w:r>
      <w:r>
        <w:rPr>
          <w:rFonts w:ascii="Arial" w:hAnsi="Arial"/>
        </w:rPr>
        <w:t xml:space="preserve"> imóveis fora do padrão da amostra de treino recebem o valor estimado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e</w:t>
      </w:r>
      <w:r>
        <w:rPr>
          <w:rFonts w:ascii="Arial" w:hAnsi="Arial"/>
        </w:rPr>
        <w:t xml:space="preserve"> uma marcação de "atípico — sujeito a avaliação individual".</w:t>
      </w:r>
    </w:p>
    <w:p>
      <w:pPr>
        <w:pStyle w:val="Heading3"/>
      </w:pPr>
      <w:r>
        <w:rPr>
          <w:rFonts w:ascii="Arial" w:hAnsi="Arial"/>
          <w:color w:val="1A3A5C"/>
        </w:rPr>
        <w:t>4.3 Métodos não paramétricos (Machine Learning)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8.1.2: "Quando forem utilizadas outras ferramentas analíticas (...) técnicas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de aprendizado de máquina e redes neurais artificiais, podem ser aplicadas, desde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que devidamente justificadas do ponto de vista teórico e prático, com a inclusão de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validação."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7.8.4: para métodos não paramétricos, "recomenda-se a divisão dos dados em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três amostras" (treino, validação e teste).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Aplicação:</w:t>
      </w:r>
      <w:r>
        <w:rPr>
          <w:rFonts w:ascii="Arial" w:hAnsi="Arial"/>
        </w:rPr>
        <w:t xml:space="preserve"> LightGBM + modelo hedônico + KNN, com três amostras.</w:t>
      </w:r>
    </w:p>
    <w:p>
      <w:pPr>
        <w:pStyle w:val="Heading3"/>
      </w:pPr>
      <w:r>
        <w:rPr>
          <w:rFonts w:ascii="Arial" w:hAnsi="Arial"/>
          <w:color w:val="1A3A5C"/>
        </w:rPr>
        <w:t>4.4 Significância dos parâmetros e amostra mínima (NBR 14653-2, verificado no texto oficial)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Nível de significância máximo para rejeição da hipótese nula de cada regressor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(teste bicaudal): Grau III = 10% · Grau II = 20% · Grau I = 30%.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Nível de significância máximo do modelo (global): Grau III = 1% · Grau II = 2%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· Grau I = 5%.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Amostra mínima em função do número de variáveis independentes (k):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n ≥ 3(k+1) para n ≤ 30; n ≥ 3k para 30 &lt; n ≤ 100; n ≥ 10% n_i para n &gt; 100.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Observação:</w:t>
      </w:r>
      <w:r>
        <w:rPr>
          <w:rFonts w:ascii="Arial" w:hAnsi="Arial"/>
        </w:rPr>
        <w:t xml:space="preserve"> estes critérios são da modelagem por </w:t>
      </w:r>
      <w:r>
        <w:rPr>
          <w:rFonts w:ascii="Arial" w:hAnsi="Arial"/>
          <w:b/>
        </w:rPr>
        <w:t>regressão</w:t>
      </w:r>
      <w:r>
        <w:rPr>
          <w:rFonts w:ascii="Arial" w:hAnsi="Arial"/>
        </w:rPr>
        <w:t>. Para modelos de</w:t>
      </w:r>
    </w:p>
    <w:p>
      <w:r>
        <w:rPr>
          <w:rFonts w:ascii="Arial" w:hAnsi="Arial"/>
        </w:rPr>
        <w:t>Machine Learning, a IBAPE 8.1.2.1 dispensa a especificação formal — porém os testes de</w:t>
      </w:r>
    </w:p>
    <w:p>
      <w:r>
        <w:rPr>
          <w:rFonts w:ascii="Arial" w:hAnsi="Arial"/>
        </w:rPr>
        <w:t xml:space="preserve">significância são usados no projeto como </w:t>
      </w:r>
      <w:r>
        <w:rPr>
          <w:rFonts w:ascii="Arial" w:hAnsi="Arial"/>
          <w:b/>
        </w:rPr>
        <w:t>diagnóstico</w:t>
      </w:r>
      <w:r>
        <w:rPr>
          <w:rFonts w:ascii="Arial" w:hAnsi="Arial"/>
        </w:rPr>
        <w:t xml:space="preserve"> da contribuição de cada</w:t>
      </w:r>
    </w:p>
    <w:p>
      <w:r>
        <w:rPr>
          <w:rFonts w:ascii="Arial" w:hAnsi="Arial"/>
        </w:rPr>
        <w:t>parâmetro (Etapa 5). A amostra de apartamentos (97.990) supera com folga o mínimo.</w:t>
      </w:r>
    </w:p>
    <w:p/>
    <w:p>
      <w:pPr>
        <w:pStyle w:val="Heading2"/>
      </w:pPr>
      <w:r>
        <w:rPr>
          <w:rFonts w:ascii="Arial" w:hAnsi="Arial"/>
          <w:color w:val="1A3A5C"/>
        </w:rPr>
        <w:t>5. Divisão da amostra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7.6.3: divisão em amostra de construção e amostra de controle (hold-out).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7.6.4: "particão aleatória dos dados (...) em uma das seguintes proporções: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90%-10%; 85%-15% ou 80%-20%."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Aplicação:</w:t>
      </w:r>
      <w:r>
        <w:rPr>
          <w:rFonts w:ascii="Arial" w:hAnsi="Arial"/>
        </w:rPr>
        <w:t xml:space="preserve"> sorteio aleatório, semente fixa = 42 (reproduzível), proporção</w:t>
      </w:r>
    </w:p>
    <w:p>
      <w:r>
        <w:rPr>
          <w:rFonts w:ascii="Arial" w:hAnsi="Arial"/>
        </w:rPr>
        <w:t>80% treino / 10% validação / 10% teste.</w:t>
      </w:r>
    </w:p>
    <w:p/>
    <w:p>
      <w:pPr>
        <w:pStyle w:val="Heading2"/>
      </w:pPr>
      <w:r>
        <w:rPr>
          <w:rFonts w:ascii="Arial" w:hAnsi="Arial"/>
          <w:color w:val="1A3A5C"/>
        </w:rPr>
        <w:t>6. Validação do modelo</w:t>
      </w:r>
    </w:p>
    <w:p>
      <w:pPr>
        <w:pStyle w:val="Heading3"/>
      </w:pPr>
      <w:r>
        <w:rPr>
          <w:rFonts w:ascii="Arial" w:hAnsi="Arial"/>
          <w:color w:val="1A3A5C"/>
        </w:rPr>
        <w:t>6.1 Indicadores obrigatórios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7.8.1: "Devem ser calculados indicadores de desempenho para a amostra de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controle relacionados ao nível geral e à uniformidade das avaliações."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- Nível geral = mediana dos níveis individuais (razão estimado/preço)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- Uniformidade horizontal = coeficiente de dispersão (COD) [passo a passo em 7.8.1.b]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- Uniformidade vertical = regressividade/progressividade</w:t>
      </w:r>
    </w:p>
    <w:p>
      <w:pPr>
        <w:pStyle w:val="Heading3"/>
      </w:pPr>
      <w:r>
        <w:rPr>
          <w:rFonts w:ascii="Arial" w:hAnsi="Arial"/>
          <w:color w:val="1A3A5C"/>
        </w:rPr>
        <w:t>6.2 Metas (graus de fundamentação — IBAPE Tabela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2394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Grau III</w:t>
            </w:r>
          </w:p>
        </w:tc>
        <w:tc>
          <w:tcPr>
            <w:tcW w:type="dxa" w:w="2394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Grau II</w:t>
            </w:r>
          </w:p>
        </w:tc>
        <w:tc>
          <w:tcPr>
            <w:tcW w:type="dxa" w:w="2394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Grau I</w:t>
            </w:r>
          </w:p>
        </w:tc>
      </w:tr>
      <w:tr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Nível geral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0,90 a 1,10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0,70 a &lt;0,90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0,50 a &lt;0,70</w:t>
            </w:r>
          </w:p>
        </w:tc>
      </w:tr>
      <w:tr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Uniformidade horizontal (COD)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≤ 15%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&gt;15% e ≤30%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&gt;30% e ≤50%</w:t>
            </w:r>
          </w:p>
        </w:tc>
      </w:tr>
      <w:tr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Contemporaneidade (últimos 12 m)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≥ 20%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≥ 10%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demais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A3A5C"/>
        </w:rPr>
        <w:t>6.3 Padrões internacionais complementares (IAAO Ratio Studies 2013)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COD aceitável:</w:t>
      </w:r>
      <w:r>
        <w:rPr>
          <w:rFonts w:ascii="Arial" w:hAnsi="Arial"/>
        </w:rPr>
        <w:t xml:space="preserve"> residencial 5–15; comercial 5–20; terreno 5–25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PRD (uniformidade vertical):</w:t>
      </w:r>
      <w:r>
        <w:rPr>
          <w:rFonts w:ascii="Arial" w:hAnsi="Arial"/>
        </w:rPr>
        <w:t xml:space="preserve"> 0,98 a 1,03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PRB:</w:t>
      </w:r>
      <w:r>
        <w:rPr>
          <w:rFonts w:ascii="Arial" w:hAnsi="Arial"/>
        </w:rPr>
        <w:t xml:space="preserve"> −0,05 a +0,05 (inaceitável fora de −0,10 a +0,10)</w:t>
      </w:r>
    </w:p>
    <w:p/>
    <w:p>
      <w:pPr>
        <w:pStyle w:val="Heading2"/>
      </w:pPr>
      <w:r>
        <w:rPr>
          <w:rFonts w:ascii="Arial" w:hAnsi="Arial"/>
          <w:color w:val="1A3A5C"/>
        </w:rPr>
        <w:t>7. Aplicação e manutenção</w:t>
      </w:r>
    </w:p>
    <w:p>
      <w:pPr>
        <w:pStyle w:val="Heading3"/>
      </w:pPr>
      <w:r>
        <w:rPr>
          <w:rFonts w:ascii="Arial" w:hAnsi="Arial"/>
          <w:color w:val="1A3A5C"/>
        </w:rPr>
        <w:t>7.1 Coeficiente de segurança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7.9.2: "Para fins de lançamento do IPTU, recomenda-se a aplicação de um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coeficiente de segurança único, compreendido entre 70% e 90% sobre os valores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estimados, de forma a minimizar casos de superavaliação."</w:t>
      </w:r>
    </w:p>
    <w:p>
      <w:r>
        <w:rPr>
          <w:rFonts w:ascii="Arial" w:hAnsi="Arial"/>
        </w:rPr>
        <w:t>*Observação: previsto para IPTU; aplicação ao ITIV é decisão da equipe.*</w:t>
      </w:r>
    </w:p>
    <w:p>
      <w:pPr>
        <w:pStyle w:val="Heading3"/>
      </w:pPr>
      <w:r>
        <w:rPr>
          <w:rFonts w:ascii="Arial" w:hAnsi="Arial"/>
          <w:color w:val="1A3A5C"/>
        </w:rPr>
        <w:t>7.2 Ciclo de reavaliação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7.11.1: "Recomenda-se que o ciclo entre avaliações genéricas seja de, no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máximo, 4 (quatro) anos."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7.12.1: monitoramento anual do desempenho das avaliações.</w:t>
      </w:r>
    </w:p>
    <w:p/>
    <w:p>
      <w:pPr>
        <w:pStyle w:val="Heading2"/>
      </w:pPr>
      <w:r>
        <w:rPr>
          <w:rFonts w:ascii="Arial" w:hAnsi="Arial"/>
          <w:color w:val="1A3A5C"/>
        </w:rPr>
        <w:t>8. Transparência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9.2.2: apresentação dos resultados em audiências públicas.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9.2.3: "recomenda-se livre acesso aos resultados dos trabalhos para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qualquer imóvel cadastrado, por qualquer cidadão."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7.1.2(a): o processo de avaliação deve ser "essencialmente técnico e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transparente."</w:t>
      </w:r>
    </w:p>
    <w:p/>
    <w:p>
      <w:r>
        <w:rPr>
          <w:rFonts w:ascii="Arial" w:hAnsi="Arial"/>
        </w:rPr>
        <w:t>*Todas as citações foram extraídas da leitura integral dos documentos normativos.</w:t>
      </w:r>
    </w:p>
    <w:p>
      <w:r>
        <w:rPr>
          <w:rFonts w:ascii="Arial" w:hAnsi="Arial"/>
        </w:rPr>
        <w:t>As decisões metodológicas do projeto estão registradas em</w:t>
      </w:r>
    </w:p>
    <w:p>
      <w:r>
        <w:rPr>
          <w:rFonts w:ascii="Arial" w:hAnsi="Arial"/>
        </w:rPr>
        <w:t>`REGISTRO_ETAPAS_APROVACAO.md`, sujeitas à aprovação da equipe.*</w:t>
      </w:r>
    </w:p>
    <w:sectPr w:rsidR="00FC693F" w:rsidRPr="0006063C" w:rsidSect="00034616">
      <w:footerReference w:type="default" r:id="rId9"/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888888"/>
        <w:sz w:val="16"/>
      </w:rPr>
      <w:t>Coordenadoria de Inteligência Fiscal — SEFAZ Salvador | Junho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