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A3A5C"/>
        </w:rPr>
        <w:t>Projeto — Adequação do Avaliador ITIV às Normas Técnicas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Coordenadoria de Inteligência Fiscal — SEFAZ Salvador</w:t>
      </w:r>
      <w:r>
        <w:rPr>
          <w:rFonts w:ascii="Arial" w:hAnsi="Arial"/>
        </w:rPr>
      </w:r>
    </w:p>
    <w:p>
      <w:r>
        <w:rPr>
          <w:rFonts w:ascii="Arial" w:hAnsi="Arial"/>
        </w:rPr>
      </w:r>
      <w:r>
        <w:rPr>
          <w:rFonts w:ascii="Arial" w:hAnsi="Arial"/>
          <w:b/>
        </w:rPr>
        <w:t>Data:</w:t>
      </w:r>
      <w:r>
        <w:rPr>
          <w:rFonts w:ascii="Arial" w:hAnsi="Arial"/>
        </w:rPr>
        <w:t xml:space="preserve"> Junho de 2026</w:t>
      </w:r>
    </w:p>
    <w:p/>
    <w:p>
      <w:pPr>
        <w:pStyle w:val="Heading2"/>
      </w:pPr>
      <w:r>
        <w:rPr>
          <w:rFonts w:ascii="Arial" w:hAnsi="Arial"/>
          <w:color w:val="1A3A5C"/>
        </w:rPr>
        <w:t>1. Objetivo</w:t>
      </w:r>
    </w:p>
    <w:p>
      <w:r>
        <w:rPr>
          <w:rFonts w:ascii="Arial" w:hAnsi="Arial"/>
        </w:rPr>
        <w:t>Adequar o modelo de avaliação em massa de imóveis do ITIV às normas técnicas</w:t>
      </w:r>
    </w:p>
    <w:p>
      <w:r>
        <w:rPr>
          <w:rFonts w:ascii="Arial" w:hAnsi="Arial"/>
        </w:rPr>
        <w:t>reconhecidas no Brasil, de forma que os valores estimados possam sustentar</w:t>
      </w:r>
    </w:p>
    <w:p>
      <w:r>
        <w:rPr>
          <w:rFonts w:ascii="Arial" w:hAnsi="Arial"/>
        </w:rPr>
        <w:t>lançamento tributário sem fragilidade técnica ou jurídica.</w:t>
      </w:r>
    </w:p>
    <w:p>
      <w:r>
        <w:rPr>
          <w:rFonts w:ascii="Arial" w:hAnsi="Arial"/>
        </w:rPr>
        <w:t>Normas de referência (lidas integralmente):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ABNT NBR 14653-1:2019</w:t>
      </w:r>
      <w:r>
        <w:rPr>
          <w:rFonts w:ascii="Arial" w:hAnsi="Arial"/>
        </w:rPr>
        <w:t xml:space="preserve"> — Avaliação de bens, procedimentos gerais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ABNT NBR 14653-2:2011</w:t>
      </w:r>
      <w:r>
        <w:rPr>
          <w:rFonts w:ascii="Arial" w:hAnsi="Arial"/>
        </w:rPr>
        <w:t xml:space="preserve"> — Imóveis urbanos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Norma IBAPE/SOBREA (2023)</w:t>
      </w:r>
      <w:r>
        <w:rPr>
          <w:rFonts w:ascii="Arial" w:hAnsi="Arial"/>
        </w:rPr>
        <w:t xml:space="preserve"> — Avaliação em massa para fins tributários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IAAO</w:t>
      </w:r>
      <w:r>
        <w:rPr>
          <w:rFonts w:ascii="Arial" w:hAnsi="Arial"/>
        </w:rPr>
        <w:t xml:space="preserve"> — Standard on Mass Appraisal (2017) + Standard on Ratio Studies (2013)</w:t>
      </w:r>
    </w:p>
    <w:p/>
    <w:p>
      <w:pPr>
        <w:pStyle w:val="Heading2"/>
      </w:pPr>
      <w:r>
        <w:rPr>
          <w:rFonts w:ascii="Arial" w:hAnsi="Arial"/>
          <w:color w:val="1A3A5C"/>
        </w:rPr>
        <w:t>2. Princípio central (definido pelo usuário e confirmado pela norma)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A amostra de TREINO pode ter limites (área, valor, etc.) para garantir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qualidade do aprendizado.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A avaliação/INFERÊNCIA NÃO pode aplicar esses limites — o modelo deve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avaliar TODOS os imóveis do cadastro, sem exclusão.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Fundamento normativo:</w:t>
      </w:r>
      <w:r>
        <w:rPr>
          <w:rFonts w:ascii="Arial" w:hAnsi="Arial"/>
        </w:rPr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IBAPE 7.6.7:</w:t>
      </w:r>
      <w:r>
        <w:rPr>
          <w:rFonts w:ascii="Arial" w:hAnsi="Arial"/>
        </w:rPr>
        <w:t xml:space="preserve"> "Recomenda-se que os limites das variáveis relacionadas aos</w:t>
      </w:r>
    </w:p>
    <w:p>
      <w:r>
        <w:rPr>
          <w:rFonts w:ascii="Arial" w:hAnsi="Arial"/>
        </w:rPr>
        <w:t xml:space="preserve">  imóveis que integram a *amostra de dados* sejam compatíveis com as</w:t>
      </w:r>
    </w:p>
    <w:p>
      <w:r>
        <w:rPr>
          <w:rFonts w:ascii="Arial" w:hAnsi="Arial"/>
        </w:rPr>
        <w:t xml:space="preserve">  características do universo de imóveis a avaliar." → limite é da </w:t>
      </w:r>
      <w:r>
        <w:rPr>
          <w:rFonts w:ascii="Arial" w:hAnsi="Arial"/>
          <w:b/>
        </w:rPr>
        <w:t>amostra</w:t>
      </w:r>
      <w:r>
        <w:rPr>
          <w:rFonts w:ascii="Arial" w:hAnsi="Arial"/>
        </w:rPr>
        <w:t>.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IBAPE 7.9.1:</w:t>
      </w:r>
      <w:r>
        <w:rPr>
          <w:rFonts w:ascii="Arial" w:hAnsi="Arial"/>
        </w:rPr>
        <w:t xml:space="preserve"> "As estimativas de valor serão resultantes da aplicação do(s)</w:t>
      </w:r>
    </w:p>
    <w:p>
      <w:r>
        <w:rPr>
          <w:rFonts w:ascii="Arial" w:hAnsi="Arial"/>
        </w:rPr>
        <w:t xml:space="preserve">  modelo(s) ao *universo de imóveis a ser avaliado*." → inferência cobre </w:t>
      </w:r>
      <w:r>
        <w:rPr>
          <w:rFonts w:ascii="Arial" w:hAnsi="Arial"/>
          <w:b/>
        </w:rPr>
        <w:t>todos</w:t>
      </w:r>
      <w:r>
        <w:rPr>
          <w:rFonts w:ascii="Arial" w:hAnsi="Arial"/>
        </w:rPr>
        <w:t>.</w:t>
      </w:r>
    </w:p>
    <w:p>
      <w:r>
        <w:rPr>
          <w:rFonts w:ascii="Arial" w:hAnsi="Arial"/>
        </w:rPr>
        <w:t xml:space="preserve">Imóveis atípicos (área muito fora do padrão, etc.) </w:t>
      </w:r>
      <w:r>
        <w:rPr>
          <w:rFonts w:ascii="Arial" w:hAnsi="Arial"/>
          <w:b/>
        </w:rPr>
        <w:t>não devem ser filtrados</w:t>
      </w:r>
      <w:r>
        <w:rPr>
          <w:rFonts w:ascii="Arial" w:hAnsi="Arial"/>
        </w:rPr>
        <w:t xml:space="preserve"> na</w:t>
      </w:r>
    </w:p>
    <w:p>
      <w:r>
        <w:rPr>
          <w:rFonts w:ascii="Arial" w:hAnsi="Arial"/>
        </w:rPr>
        <w:t xml:space="preserve">inferência. Conforme </w:t>
      </w:r>
      <w:r>
        <w:rPr>
          <w:rFonts w:ascii="Arial" w:hAnsi="Arial"/>
          <w:b/>
        </w:rPr>
        <w:t>IBAPE 7.1.3(a)</w:t>
      </w:r>
      <w:r>
        <w:rPr>
          <w:rFonts w:ascii="Arial" w:hAnsi="Arial"/>
        </w:rPr>
        <w:t>, devem ser **sinalizados para avaliação</w:t>
      </w:r>
    </w:p>
    <w:p>
      <w:r>
        <w:rPr>
          <w:rFonts w:ascii="Arial" w:hAnsi="Arial"/>
        </w:rPr>
        <w:t>individual** — não excluídos nem distorcidos silenciosamente.</w:t>
      </w:r>
    </w:p>
    <w:p/>
    <w:p>
      <w:pPr>
        <w:pStyle w:val="Heading2"/>
      </w:pPr>
      <w:r>
        <w:rPr>
          <w:rFonts w:ascii="Arial" w:hAnsi="Arial"/>
          <w:color w:val="1A3A5C"/>
        </w:rPr>
        <w:t>3. Análise de Lacunas — Modelo Atual × Norma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Requisito da norma</w:t>
            </w:r>
          </w:p>
        </w:tc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Fonte</w:t>
            </w:r>
          </w:p>
        </w:tc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Modelo atual</w:t>
            </w:r>
          </w:p>
        </w:tc>
        <w:tc>
          <w:tcPr>
            <w:tcW w:type="dxa" w:w="1915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Situação</w:t>
            </w:r>
          </w:p>
        </w:tc>
      </w:tr>
      <w:tr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Limites só na amostra de treino, nunca na inferência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IBAPE 7.6.7 / 7.9.1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Limites de área/valor aplicados; inferência em lote pode herdá-los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A corrigir</w:t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Imóveis atípicos → avaliação individual sinalizada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IBAPE 7.1.3(a)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Não há sinalização; valores distorcidos passam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A corrigir</w:t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Validação por Nível Geral (mediana das razões)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IBAPE 7.8.1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Usa MAPE/R²; não calcula Nível Geral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Faltando</w:t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Validação por COD (uniformidade horizontal)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IBAPE 7.8.1 / IAAO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Não calcula COD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Faltando</w:t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Uniformidade vertical (PRD/PRB)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IBAPE 7.8.1 / IAAO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Não calcula PRD/PRB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Faltando</w:t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Três amostras para ML (treino/val/teste)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IBAPE 7.8.4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Possui split treino/val/teste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Atende</w:t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Critério de outlier fundamentado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NBR 14653-2 (Chauvenet)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Usa IQR×1,5 sem citar norma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A documentar/revisar</w:t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Coeficiente de segurança 70-90%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IBAPE 7.9.2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Não aplica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A avaliar</w:t>
            </w:r>
            <w:r>
              <w:rPr>
                <w:rFonts w:ascii="Arial" w:hAnsi="Arial"/>
                <w:sz w:val="19"/>
              </w:rPr>
              <w:t xml:space="preserve"> (é p/ IPTU; ITIV pode diferir)</w:t>
            </w:r>
          </w:p>
        </w:tc>
      </w:tr>
      <w:tr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Ciclo de reavaliação ≤ 4 anos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IBAPE 7.11.1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N/A (modelo novo)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Planejar</w:t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Qualidade do cadastro (95% campos objetivos)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IAAO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Não medido</w:t>
            </w:r>
          </w:p>
        </w:tc>
        <w:tc>
          <w:tcPr>
            <w:tcW w:type="dxa" w:w="1915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Faltando</w:t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ITBI: só transações 100% e representativas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IBAPE 7.2.11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Verificar fração transmitida</w:t>
            </w:r>
          </w:p>
        </w:tc>
        <w:tc>
          <w:tcPr>
            <w:tcW w:type="dxa" w:w="1915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Verificar</w:t>
            </w:r>
            <w:r>
              <w:rPr>
                <w:rFonts w:ascii="Arial" w:hAnsi="Arial"/>
                <w:sz w:val="19"/>
              </w:rPr>
            </w:r>
          </w:p>
        </w:tc>
      </w:tr>
    </w:tbl>
    <w:p/>
    <w:p/>
    <w:p>
      <w:pPr>
        <w:pStyle w:val="Heading2"/>
      </w:pPr>
      <w:r>
        <w:rPr>
          <w:rFonts w:ascii="Arial" w:hAnsi="Arial"/>
          <w:color w:val="1A3A5C"/>
        </w:rPr>
        <w:t>4. Metas de desempenho (graus de fundamentação)</w:t>
      </w:r>
    </w:p>
    <w:p>
      <w:pPr>
        <w:pStyle w:val="Heading3"/>
      </w:pPr>
      <w:r>
        <w:rPr>
          <w:rFonts w:ascii="Arial" w:hAnsi="Arial"/>
          <w:color w:val="1A3A5C"/>
        </w:rPr>
        <w:t>Nível Geral das avaliações (mediana razão estimado/mercado)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Grau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Faixa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III (máximo)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0,90 a 1,10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II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0,70 a &lt;0,90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0,50 a &lt;0,70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A3A5C"/>
        </w:rPr>
        <w:t>Uniformidade Horizontal — COD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Grau (IBAPE)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Faixa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III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≤ 15%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II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&gt;15% e ≤30%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&gt;30% e ≤50%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A3A5C"/>
        </w:rPr>
        <w:t>COD por tipo (IAAO Ratio Studies 2013)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Tipo de imóvel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COD aceitável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Residencial (casa/apto)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5 a 15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Comercial (renda)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5 a 20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Terreno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5 a 25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A3A5C"/>
        </w:rPr>
        <w:t>Uniformidade Vertical (IAAO)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PRD:</w:t>
      </w:r>
      <w:r>
        <w:rPr>
          <w:rFonts w:ascii="Arial" w:hAnsi="Arial"/>
        </w:rPr>
        <w:t xml:space="preserve"> 0,98 a 1,03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PRB:</w:t>
      </w:r>
      <w:r>
        <w:rPr>
          <w:rFonts w:ascii="Arial" w:hAnsi="Arial"/>
        </w:rPr>
        <w:t xml:space="preserve"> −0,05 a +0,05 (inaceitável fora de −0,10 a +0,10)</w:t>
      </w:r>
    </w:p>
    <w:p/>
    <w:p>
      <w:pPr>
        <w:pStyle w:val="Heading2"/>
      </w:pPr>
      <w:r>
        <w:rPr>
          <w:rFonts w:ascii="Arial" w:hAnsi="Arial"/>
          <w:color w:val="1A3A5C"/>
        </w:rPr>
        <w:t>5. Etapas do projeto</w:t>
      </w:r>
    </w:p>
    <w:p>
      <w:pPr>
        <w:pStyle w:val="Heading3"/>
      </w:pPr>
      <w:r>
        <w:rPr>
          <w:rFonts w:ascii="Arial" w:hAnsi="Arial"/>
          <w:color w:val="1A3A5C"/>
        </w:rPr>
        <w:t>Etapa 1 — Separar limites de treino × inferência</w:t>
      </w:r>
    </w:p>
    <w:p>
      <w:pPr>
        <w:pStyle w:val="ListBullet"/>
      </w:pPr>
      <w:r>
        <w:rPr>
          <w:rFonts w:ascii="Arial" w:hAnsi="Arial"/>
        </w:rPr>
        <w:t xml:space="preserve">Garantir que os limites (área, valor/m²) sejam aplicados </w:t>
      </w:r>
      <w:r>
        <w:rPr>
          <w:rFonts w:ascii="Arial" w:hAnsi="Arial"/>
          <w:b/>
        </w:rPr>
        <w:t>apenas</w:t>
      </w:r>
      <w:r>
        <w:rPr>
          <w:rFonts w:ascii="Arial" w:hAnsi="Arial"/>
        </w:rPr>
        <w:t xml:space="preserve"> na</w:t>
      </w:r>
    </w:p>
    <w:p>
      <w:r>
        <w:rPr>
          <w:rFonts w:ascii="Arial" w:hAnsi="Arial"/>
        </w:rPr>
        <w:t xml:space="preserve">  construção da amostra de treino.</w:t>
      </w:r>
    </w:p>
    <w:p>
      <w:pPr>
        <w:pStyle w:val="ListBullet"/>
      </w:pPr>
      <w:r>
        <w:rPr>
          <w:rFonts w:ascii="Arial" w:hAnsi="Arial"/>
        </w:rPr>
        <w:t xml:space="preserve">Remover </w:t>
      </w:r>
      <w:r>
        <w:rPr>
          <w:rFonts w:ascii="Arial" w:hAnsi="Arial"/>
          <w:b/>
        </w:rPr>
        <w:t>qualquer</w:t>
      </w:r>
      <w:r>
        <w:rPr>
          <w:rFonts w:ascii="Arial" w:hAnsi="Arial"/>
        </w:rPr>
        <w:t xml:space="preserve"> filtro de limite do pipeline de inferência/lote.</w:t>
      </w:r>
    </w:p>
    <w:p>
      <w:pPr>
        <w:pStyle w:val="ListBullet"/>
      </w:pPr>
      <w:r>
        <w:rPr>
          <w:rFonts w:ascii="Arial" w:hAnsi="Arial"/>
        </w:rPr>
        <w:t xml:space="preserve">Imóveis fora dos limites de treino: avaliar mesmo assim e </w:t>
      </w:r>
      <w:r>
        <w:rPr>
          <w:rFonts w:ascii="Arial" w:hAnsi="Arial"/>
          <w:b/>
        </w:rPr>
        <w:t>marcar</w:t>
      </w:r>
      <w:r>
        <w:rPr>
          <w:rFonts w:ascii="Arial" w:hAnsi="Arial"/>
        </w:rPr>
        <w:t xml:space="preserve"> como</w:t>
      </w:r>
    </w:p>
    <w:p>
      <w:r>
        <w:rPr>
          <w:rFonts w:ascii="Arial" w:hAnsi="Arial"/>
        </w:rPr>
        <w:t xml:space="preserve">  "atípico — sujeito a avaliação individual" (IBAPE 7.1.3a).</w:t>
      </w:r>
    </w:p>
    <w:p>
      <w:pPr>
        <w:pStyle w:val="Heading3"/>
      </w:pPr>
      <w:r>
        <w:rPr>
          <w:rFonts w:ascii="Arial" w:hAnsi="Arial"/>
          <w:color w:val="1A3A5C"/>
        </w:rPr>
        <w:t>Etapa 2 — Implementar métricas normativas de validação</w:t>
      </w:r>
    </w:p>
    <w:p>
      <w:pPr>
        <w:pStyle w:val="ListBullet"/>
      </w:pPr>
      <w:r>
        <w:rPr>
          <w:rFonts w:ascii="Arial" w:hAnsi="Arial"/>
        </w:rPr>
        <w:t>Calcular, sobre a amostra de controle (transações reais do teste):</w:t>
      </w:r>
    </w:p>
    <w:p>
      <w:r>
        <w:rPr>
          <w:rFonts w:ascii="Arial" w:hAnsi="Arial"/>
        </w:rPr>
        <w:t xml:space="preserve">  - Nível Geral (mediana das razões estimado/preço)</w:t>
      </w:r>
    </w:p>
    <w:p>
      <w:r>
        <w:rPr>
          <w:rFonts w:ascii="Arial" w:hAnsi="Arial"/>
        </w:rPr>
        <w:t xml:space="preserve">  - COD (coeficiente de dispersão)</w:t>
      </w:r>
    </w:p>
    <w:p>
      <w:r>
        <w:rPr>
          <w:rFonts w:ascii="Arial" w:hAnsi="Arial"/>
        </w:rPr>
        <w:t xml:space="preserve">  - PRD e PRB</w:t>
      </w:r>
    </w:p>
    <w:p>
      <w:pPr>
        <w:pStyle w:val="ListBullet"/>
      </w:pPr>
      <w:r>
        <w:rPr>
          <w:rFonts w:ascii="Arial" w:hAnsi="Arial"/>
        </w:rPr>
        <w:t>Enquadrar o resultado nos graus de fundamentação (Tabela 1 IBAPE).</w:t>
      </w:r>
    </w:p>
    <w:p>
      <w:pPr>
        <w:pStyle w:val="Heading3"/>
      </w:pPr>
      <w:r>
        <w:rPr>
          <w:rFonts w:ascii="Arial" w:hAnsi="Arial"/>
          <w:color w:val="1A3A5C"/>
        </w:rPr>
        <w:t>Etapa 3 — Comparar modelo atual × modelo conforme norma</w:t>
      </w:r>
    </w:p>
    <w:p>
      <w:pPr>
        <w:pStyle w:val="ListBullet"/>
      </w:pPr>
      <w:r>
        <w:rPr>
          <w:rFonts w:ascii="Arial" w:hAnsi="Arial"/>
        </w:rPr>
        <w:t>Rodar as mesmas métricas no modelo atual e no ajustado.</w:t>
      </w:r>
    </w:p>
    <w:p>
      <w:pPr>
        <w:pStyle w:val="ListBullet"/>
      </w:pPr>
      <w:r>
        <w:rPr>
          <w:rFonts w:ascii="Arial" w:hAnsi="Arial"/>
        </w:rPr>
        <w:t>Quantificar a diferença: quantos imóveis mudam de classificação ao remover</w:t>
      </w:r>
    </w:p>
    <w:p>
      <w:r>
        <w:rPr>
          <w:rFonts w:ascii="Arial" w:hAnsi="Arial"/>
        </w:rPr>
        <w:t xml:space="preserve">  os limites de inferência.</w:t>
      </w:r>
    </w:p>
    <w:p>
      <w:pPr>
        <w:pStyle w:val="Heading3"/>
      </w:pPr>
      <w:r>
        <w:rPr>
          <w:rFonts w:ascii="Arial" w:hAnsi="Arial"/>
          <w:color w:val="1A3A5C"/>
        </w:rPr>
        <w:t>Etapa 4 — Documentação e fundamentação</w:t>
      </w:r>
    </w:p>
    <w:p>
      <w:pPr>
        <w:pStyle w:val="ListBullet"/>
      </w:pPr>
      <w:r>
        <w:rPr>
          <w:rFonts w:ascii="Arial" w:hAnsi="Arial"/>
        </w:rPr>
        <w:t>Documentar a origem de cada critério (ou substituir IQR por Chauvenet, se a</w:t>
      </w:r>
    </w:p>
    <w:p>
      <w:r>
        <w:rPr>
          <w:rFonts w:ascii="Arial" w:hAnsi="Arial"/>
        </w:rPr>
        <w:t xml:space="preserve">  equipe aprovar).</w:t>
      </w:r>
    </w:p>
    <w:p>
      <w:pPr>
        <w:pStyle w:val="ListBullet"/>
      </w:pPr>
      <w:r>
        <w:rPr>
          <w:rFonts w:ascii="Arial" w:hAnsi="Arial"/>
        </w:rPr>
        <w:t>Produzir memorial descritivo conforme IBAPE Seção 10.</w:t>
      </w:r>
    </w:p>
    <w:p>
      <w:pPr>
        <w:pStyle w:val="Heading3"/>
      </w:pPr>
      <w:r>
        <w:rPr>
          <w:rFonts w:ascii="Arial" w:hAnsi="Arial"/>
          <w:color w:val="1A3A5C"/>
        </w:rPr>
        <w:t>Etapa 5 — Decisões pendentes de aprovação da equipe</w:t>
      </w:r>
    </w:p>
    <w:p>
      <w:pPr>
        <w:pStyle w:val="ListBullet"/>
      </w:pPr>
      <w:r>
        <w:rPr>
          <w:rFonts w:ascii="Arial" w:hAnsi="Arial"/>
        </w:rPr>
        <w:t>Critério de outlier: manter IQR ou adotar Chauvenet (NBR 14653-2)?</w:t>
      </w:r>
    </w:p>
    <w:p>
      <w:pPr>
        <w:pStyle w:val="ListBullet"/>
      </w:pPr>
      <w:r>
        <w:rPr>
          <w:rFonts w:ascii="Arial" w:hAnsi="Arial"/>
        </w:rPr>
        <w:t>Coeficiente de segurança: aplicar ao ITIV? Qual percentual?</w:t>
      </w:r>
    </w:p>
    <w:p>
      <w:pPr>
        <w:pStyle w:val="ListBullet"/>
      </w:pPr>
      <w:r>
        <w:rPr>
          <w:rFonts w:ascii="Arial" w:hAnsi="Arial"/>
        </w:rPr>
        <w:t>Limites da amostra de treino: revisar com base no universo real do cadastro.</w:t>
      </w:r>
    </w:p>
    <w:p/>
    <w:p>
      <w:pPr>
        <w:pStyle w:val="Heading2"/>
      </w:pPr>
      <w:r>
        <w:rPr>
          <w:rFonts w:ascii="Arial" w:hAnsi="Arial"/>
          <w:color w:val="1A3A5C"/>
        </w:rPr>
        <w:t>5-A. Decisões registradas com a equipe (seguir a norma)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Fundamento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Situação da transmissão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Incluir Baixado + Liberado + Em aberto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Decisão do auditor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Tipo de transação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Só "Compra e Venda" e "Compra e venda de garagem"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IBAPE 7.2.11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Impugnação VVA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Excluir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Não é preço de livre mercado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Datas inválidas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Recuperar por registro/lavratura/assinatura; descartar só sem nenhuma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—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Fração transmitida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Só 100%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IBAPE 7.2.11(b)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Divisão treino/teste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Aleatória 80/10/10 (treino/val/teste)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IBAPE 7.6.4 e 7.8.4</w:t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Contemporaneidade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Reportar honestamente — Grau II (16,8%)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IBAPE Tabela 1, item 5</w:t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Segmentos pequenos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Agrupar em grupo maior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IBAPE 7.6.2</w:t>
            </w:r>
          </w:p>
        </w:tc>
      </w:tr>
    </w:tbl>
    <w:p/>
    <w:p>
      <w:r>
        <w:rPr>
          <w:rFonts w:ascii="Arial" w:hAnsi="Arial"/>
        </w:rPr>
        <w:t xml:space="preserve">Base limpa resultante: </w:t>
      </w:r>
      <w:r>
        <w:rPr>
          <w:rFonts w:ascii="Arial" w:hAnsi="Arial"/>
          <w:b/>
        </w:rPr>
        <w:t>121.932 transações</w:t>
      </w:r>
      <w:r>
        <w:rPr>
          <w:rFonts w:ascii="Arial" w:hAnsi="Arial"/>
        </w:rPr>
        <w:t xml:space="preserve"> (`base_limpa_normas.parquet`), período 2021–2026 (com poucos registros recuperados de 2017–2020).</w:t>
      </w:r>
    </w:p>
    <w:p>
      <w:pPr>
        <w:pStyle w:val="Heading2"/>
      </w:pPr>
      <w:r>
        <w:rPr>
          <w:rFonts w:ascii="Arial" w:hAnsi="Arial"/>
          <w:color w:val="1A3A5C"/>
        </w:rPr>
        <w:t>6. Próximo passo imediato</w:t>
      </w:r>
    </w:p>
    <w:p>
      <w:r>
        <w:rPr>
          <w:rFonts w:ascii="Arial" w:hAnsi="Arial"/>
        </w:rPr>
        <w:t xml:space="preserve">Implementar a </w:t>
      </w:r>
      <w:r>
        <w:rPr>
          <w:rFonts w:ascii="Arial" w:hAnsi="Arial"/>
          <w:b/>
        </w:rPr>
        <w:t>Etapa 2</w:t>
      </w:r>
      <w:r>
        <w:rPr>
          <w:rFonts w:ascii="Arial" w:hAnsi="Arial"/>
        </w:rPr>
        <w:t xml:space="preserve"> (métricas normativas) sobre os resultados que já</w:t>
      </w:r>
    </w:p>
    <w:p>
      <w:r>
        <w:rPr>
          <w:rFonts w:ascii="Arial" w:hAnsi="Arial"/>
        </w:rPr>
        <w:t xml:space="preserve">existem, para </w:t>
      </w:r>
      <w:r>
        <w:rPr>
          <w:rFonts w:ascii="Arial" w:hAnsi="Arial"/>
          <w:b/>
        </w:rPr>
        <w:t>medir objetivamente</w:t>
      </w:r>
      <w:r>
        <w:rPr>
          <w:rFonts w:ascii="Arial" w:hAnsi="Arial"/>
        </w:rPr>
        <w:t xml:space="preserve"> onde o modelo atual está em relação às</w:t>
      </w:r>
    </w:p>
    <w:p>
      <w:r>
        <w:rPr>
          <w:rFonts w:ascii="Arial" w:hAnsi="Arial"/>
        </w:rPr>
        <w:t>metas da norma — antes de qualquer alteração no pipeline.</w:t>
      </w:r>
    </w:p>
    <w:p>
      <w:r>
        <w:rPr>
          <w:rFonts w:ascii="Arial" w:hAnsi="Arial"/>
        </w:rPr>
        <w:t>Nenhum limite, filtro ou critério novo será alterado sem apresentação e</w:t>
      </w:r>
    </w:p>
    <w:p>
      <w:r>
        <w:rPr>
          <w:rFonts w:ascii="Arial" w:hAnsi="Arial"/>
        </w:rPr>
        <w:t>aprovação prévia da equipe.</w:t>
      </w:r>
    </w:p>
    <w:sectPr w:rsidR="00FC693F" w:rsidRPr="0006063C" w:rsidSect="00034616">
      <w:footerReference w:type="default" r:id="rId9"/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88888"/>
        <w:sz w:val="16"/>
      </w:rPr>
      <w:t>Coordenadoria de Inteligência Fiscal — SEFAZ Salvador | Junho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