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B665F"/>
          <w:sz w:val="20"/>
          <w:szCs w:val="20"/>
        </w:rPr>
        <w:t xml:space="preserve">SEFAZ SALVADOR — COORDENADORIA DE INTELIGÊNCIA FISCAL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Perguntas e Respostas — Modelo de Avaliação de Apartamentos e a Arrecadação do ITIV</w:t>
      </w:r>
    </w:p>
    <w:p>
      <w:pPr>
        <w:spacing w:after="240"/>
        <w:jc w:val="center"/>
      </w:pPr>
      <w:r>
        <w:rPr>
          <w:rFonts w:ascii="Arial" w:cs="Arial" w:eastAsia="Arial" w:hAnsi="Arial"/>
          <w:color w:val="5B665F"/>
          <w:sz w:val="20"/>
          <w:szCs w:val="20"/>
        </w:rPr>
        <w:t xml:space="preserve">Registro dos questionamentos levantados na análise de 22/07/2026 e das respostas técnicas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 Comparando a base consolidada SELAN com a extração de transmissões, 4.833 registros não foram encontrados. Que imóveis são esses? Quais se enquadrariam no modelo?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Verificou-se que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100% dos 4.833 registros são do tipo "Incorporação Imobiliária – pré-habite-se"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e nenhum tem inscrição imobiliária individual. São registros da incorporação do empreendimento inteiro (antes do habite-se), não vendas de unidades. Por isso não aparecem na extração transacional nem no cadastro por imóvel.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Nenhum se enquadra no modelo de apartamentos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, que avalia unidades vendidas com área, localização e demais características individuais. Não há divergência entre as bases — são recortes de naturezas diferentes.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 Qual receita poderia ser gerada com o avaliador?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A resposta depende da régua de comparação, e três contas foram feitas até chegar à correta: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Modelo × valor venal: R$ 140,8 milhões (2021–2026). 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Superestima a perda, porque ignora que muita gente declarou (e pagou sobre) valor maior que o venal.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Modelo × valor declarado corrigido (IPCA): R$ 42,5 milhões. 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Mede a subdeclaração — 44% das vendas declararam abaixo do mercado — mas ainda ignora que a base de cálculo do ITIV é o maior valor entre declarado e venal: quando alguém declara baixo e o venal é alto, o imposto sai sobre o venal.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Conta correta — ITIV devido × ITIV pago: perda efetiva de R$ 6,59 milhões 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no período (11.860 guias, cerca de R$ 1,2 milhão/ano). É o que escapou das duas travas do sistema. Portanto, o valor do avaliador está menos em "recuperar receita" e mais em cobrar o valor certo, fundamentar impugnações e identificar caso a caso o que escapa.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 Comparar a estimativa do modelo com o valor declarado corrigido é a comparação correta?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Em parte. É correta para medir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subdeclaração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(usa a mesma régua do treino — valores corrigidos pelo IPCA). Mas não mede perda de arrecadação, porque o ITIV é cobrado sobre o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maior valor entre o declarado e o venal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: se alguém declara R$ 350 mil, o venal é R$ 450 mil e o modelo estima R$ 500 mil, a perda real não é sobre os R$ 150 mil de diferença do declarado — é só sobre os R$ 50 mil que excedem o venal, que foi a base efetivamente cobrada. A conta correta compara o imposto devido (alíquota × estimativa do modelo) com o imposto efetivamente pago.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 Quanto deveria ter sido arrecadado e quanto a prefeitura de fato arrecadou?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Em 66.236 compras e vendas de apartamento (2021–jun/2026), tudo em valores de hoje (IPCA) e usando a alíquota efetiva de cada guia (mediana 3%, preservando descontos legais como os 2,4% de financiamento):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Devido segundo o modelo: R$ 834,3 milhões.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Efetivamente arrecadado: R$ 951,0 milhões.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Perda efetiva (guias pagas abaixo do devido): R$ 6,59 milhões.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No agregado arrecadou-se R$ 117 milhões acima da estimativa do modelo — em grande parte por preços declarados acima da estimativa típica (imposto correto sobre o preço real pago) e, em menor parte, pelos imóveis em que o venal supera o mercado.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 Em média, quanto o valor venal é maior que o valor do modelo?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Ao contrário da intuição, o venal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não é, em média, maior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que a estimativa de mercado do modelo: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Na mediana, o venal corrigido fica 12,4% ABAIXO da estimativa do modelo (razão 0,876).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O venal só supera o modelo em 23,4% dos imóveis — e, quando supera, o excesso típico é de 8,9%.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Nos 76,6% em que fica abaixo, a distância típica é de 17,1%.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Ou seja: a referência atual erra para os dois lados — fica aquém do mercado na maioria dos imóveis e além dele numa minoria relevante, que é o recorte onde a cobrança tende a ser contestada.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 A perda de R$ 6,6 milhões seria uma validação do modelo?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Não — são coisas diferentes. A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validação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do modelo é o teste cego em 9.276 vendas nunca vistas no treino, aprovado em 14/07/2026 pelas metas da IAAO (razão mediana 0,999, COD 9,6%, PRD 1,017, PRB −0,009). Os R$ 6,6 milhões são uma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aplicação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do modelo já validado, como instrumento de diagnóstico da arrecadação. Há, porém, uma confirmação indireta de coerência: o resultado pequeno é consistente com a existência da regra do maior valor, e os números fecham com o que se sabe por outras fontes (impugnações crescentes, razão 0,851 do venal no teste).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 O que significa "capta interações não lineares: bairro × área × andar"?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Numa fórmula tradicional (linear), cada característica tem peso fixo: "cada m² vale R$ 8.000", "cada andar soma R$ 5.000" — igual para a cidade inteira. No mundo real, o efeito de uma característica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depende das outras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(é isso que "interação" significa): o m² extra vale muito mais na Vitória do que em Pirajá; andar alto vale muito num prédio com vista e quase nada num prédio baixo; 10 m² a mais mudam o preço de um apartamento pequeno, mas quase nada num de 400 m² (efeito "não linear" — não é linha reta). O LightGBM aprende milhares de regras combinadas a partir das vendas reais — "SE o setor é X E a área está entre 80 e 120 m² E o andar é alto, ENTÃO o valor/m² fica em tal faixa" — avaliando cada combinação como o mercado daquela combinação se comporta. Numa cidade com variação de 13× no preço/m² entre setores, essa flexibilidade é o que explica a consistência superior do modelo (COD 9,6% contra 13,9% do venal).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8. O que é o COD e por que ele importa?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COD (Coeficiente de Dispersão) é a métrica da IAAO que mede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consistência caso a caso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— não se o modelo acerta na média, mas se trata imóveis parecidos de forma parecida. A razão mediana pode ser perfeita (1,0) mesmo com erros grandes, porque erros para cima e para baixo se cancelam; o COD captura esse problema escondido.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Cálculo em 4 passos: 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(1) razão estimativa ÷ preço real de cada imóvel; (2) mediana dessas razões; (3) afastamento de cada razão em relação à mediana; (4) média dos afastamentos, em %. Exemplo: três imóveis avaliados +5%, 0% e −5% têm mediana ótima, mas COD ≈ 5% — é essa variação individual que ele mede.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Leitura dos números: 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modelo 9,6% contra 13,9% do venal — ambos na meta (≤15%), mas o modelo é bem mais consistente. COD alto seria loteria fiscal: uns pagando acima do justo, outros abaixo, mesmo com média boa. Ressalva: o 13,9% foi medido na base já filtrada (±30%), que exclui os extremos do venal; sem esse filtro, o COD real do venal tende a ser maior (há medição antiga de 35,4%, mas em base diferente — não comparável diretamente).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9. A comparação entre o valor arbitrado nas impugnações e a estimativa do modelo foi realmente feita?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Inicialmente não — o relatório dizia apenas que o modelo "permite" a comparação. A análise foi então executada: nas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2.017 impugnações de apartamentos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(das 3.861 registradas), o valor arbitrado pelo auditor, corrigido pelo IPCA da data da solicitação, foi cotejado com a estimativa do modelo. Resultado: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em 90,4% dos casos o arbitrado está ABAIXO da estimativa de mercado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 (distância mediana de 30,7%; razão mediana 0,718); apenas 2,9% superam a estimativa em mais de 15% (59 casos). Na grande maioria do contencioso, portanto, o modelo respalda o arbitramento — e a minoria que supera a estimativa fica identificada objetivamente para revisão prioritária.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10. O que é o filtro de plausibilidade (±30% do venal) que reduz 97.990 vendas a 46.392 no treino?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É o controle de qualidade da matéria-prima do treino. O modelo aprende com valores declarados — e nem toda declaração reflete o preço real (vendas por R$ 1.000, dígitos errados, negócios atípicos). O filtro compara cada declaração com o valor venal (referência independente que existe para todo imóvel) e </w:t>
      </w:r>
      <w:r>
        <w:rPr>
          <w:rFonts w:ascii="Arial" w:cs="Arial" w:eastAsia="Arial" w:hAnsi="Arial"/>
          <w:b/>
          <w:bCs/>
          <w:color w:val="1F2A24"/>
          <w:sz w:val="22"/>
          <w:szCs w:val="22"/>
        </w:rPr>
        <w:t xml:space="preserve">só usa no treino as vendas em que o declarado fica entre 70% e 130% do venal</w:t>
      </w:r>
      <w:r>
        <w:rPr>
          <w:rFonts w:ascii="Arial" w:cs="Arial" w:eastAsia="Arial" w:hAnsi="Arial"/>
          <w:color w:val="1F2A24"/>
          <w:sz w:val="22"/>
          <w:szCs w:val="22"/>
        </w:rPr>
        <w:t xml:space="preserve">. O que destoa é deixado de fora sem julgamento de motivo — apenas não serve de exemplo de preço de mercado.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O limite de ±30% foi decisão registrada da equipe (14/07/2026), calibrada pelo efeito nas métricas: substituiu o corte anterior de vendas simbólicas porque só com ele os indicadores de equilíbrio PRD e PRB voltaram à meta da IAAO. E a prova de que treinar com 46.392 vendas "plausíveis" não enviesa está no teste cego: razão mediana 0,999 e todas as metas atendidas nas 9.276 vendas de prova.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11. Onde a equipe acessa o avaliador?</w:t>
      </w:r>
    </w:p>
    <w:p>
      <w:pPr>
        <w:spacing w:after="12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O avaliador web do modelo de apartamentos está disponível na rede interna em: </w:t>
      </w:r>
      <w:hyperlink w:history="1" r:id="rIdnepai6ftfs9voabw1rj_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http://valedosrios:8084/</w:t>
        </w:r>
      </w:hyperlink>
    </w:p>
    <w:p>
      <w:pPr>
        <w:spacing w:after="60" w:before="300"/>
      </w:pPr>
      <w:r>
        <w:rPr>
          <w:rFonts w:ascii="Arial" w:cs="Arial" w:eastAsia="Arial" w:hAnsi="Arial"/>
          <w:b/>
          <w:bCs/>
          <w:color w:val="5B665F"/>
          <w:sz w:val="22"/>
          <w:szCs w:val="22"/>
        </w:rPr>
        <w:t xml:space="preserve">Documentos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Relatorio_Modelo_x_Arrecadacao_ITIV_DRM.docx — relatório completo da análise devido × arrecadado.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Apresentacao_Modelo_Avaliacao_ITIV_v4.pptx — apresentação com o slide "Receita: devido × arrecadado".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A24"/>
          <w:sz w:val="22"/>
          <w:szCs w:val="22"/>
        </w:rPr>
        <w:t xml:space="preserve">Relatorio_Etapa5_Validacao_Normativa_20260714.docx e REGISTRO_ETAPAS_APROVACAO — validação e decisões do modelo.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epai6ftfs9voabw1rj_f" Type="http://schemas.openxmlformats.org/officeDocument/2006/relationships/hyperlink" Target="http://valedosrios:8084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2026-07-23T01:09:32.495Z</dcterms:created>
  <dcterms:modified xsi:type="dcterms:W3CDTF">2026-07-23T01:09:32.499Z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