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/>
          <w:color w:val="1A3A5C"/>
        </w:rPr>
        <w:t>Proposta — Referência Assistida por Tipologia no ITIV</w:t>
      </w:r>
    </w:p>
    <w:p>
      <w:pPr>
        <w:pStyle w:val="Heading2"/>
      </w:pPr>
      <w:r>
        <w:rPr>
          <w:rFonts w:ascii="Arial" w:hAnsi="Arial"/>
          <w:color w:val="1A3A5C"/>
        </w:rPr>
        <w:t>Fundamentação normativa e práticas de outras administrações</w:t>
      </w:r>
    </w:p>
    <w:p>
      <w:r>
        <w:rPr>
          <w:rFonts w:ascii="Arial" w:hAnsi="Arial"/>
        </w:rPr>
      </w:r>
      <w:r>
        <w:rPr>
          <w:rFonts w:ascii="Arial" w:hAnsi="Arial"/>
          <w:b/>
        </w:rPr>
        <w:t>Coordenadoria de Inteligência Fiscal — SEFAZ Salvador</w:t>
      </w:r>
      <w:r>
        <w:rPr>
          <w:rFonts w:ascii="Arial" w:hAnsi="Arial"/>
        </w:rPr>
      </w:r>
    </w:p>
    <w:p>
      <w:r>
        <w:rPr>
          <w:rFonts w:ascii="Arial" w:hAnsi="Arial"/>
        </w:rPr>
      </w:r>
      <w:r>
        <w:rPr>
          <w:rFonts w:ascii="Arial" w:hAnsi="Arial"/>
          <w:b/>
        </w:rPr>
        <w:t>Data:</w:t>
      </w:r>
      <w:r>
        <w:rPr>
          <w:rFonts w:ascii="Arial" w:hAnsi="Arial"/>
        </w:rPr>
        <w:t xml:space="preserve"> 20/07/2026</w:t>
      </w:r>
    </w:p>
    <w:p>
      <w:r>
        <w:rPr>
          <w:rFonts w:ascii="Arial" w:hAnsi="Arial"/>
        </w:rPr>
      </w:r>
      <w:r>
        <w:rPr>
          <w:rFonts w:ascii="Arial" w:hAnsi="Arial"/>
          <w:b/>
        </w:rPr>
        <w:t>Status:</w:t>
      </w:r>
      <w:r>
        <w:rPr>
          <w:rFonts w:ascii="Arial" w:hAnsi="Arial"/>
        </w:rPr>
        <w:t xml:space="preserve"> proposta para alinhamento interno (equipe + Dilson) e apresentação à direção</w:t>
      </w:r>
    </w:p>
    <w:p>
      <w:r>
        <w:rPr>
          <w:rFonts w:ascii="Arial" w:hAnsi="Arial"/>
        </w:rPr>
      </w:r>
      <w:r>
        <w:rPr>
          <w:rFonts w:ascii="Arial" w:hAnsi="Arial"/>
          <w:b/>
        </w:rPr>
        <w:t>Complementa:</w:t>
      </w:r>
      <w:r>
        <w:rPr>
          <w:rFonts w:ascii="Arial" w:hAnsi="Arial"/>
        </w:rPr>
        <w:t xml:space="preserve"> modelo de apartamentos aprovado em 14/07/2026; `ESPECIFICACAO_REGIMES_POR_TIPOLOGIA.md`; `FUNDAMENTACAO_NORMATIVA.md`</w:t>
      </w:r>
    </w:p>
    <w:p/>
    <w:p>
      <w:pPr>
        <w:pStyle w:val="Heading2"/>
      </w:pPr>
      <w:r>
        <w:rPr>
          <w:rFonts w:ascii="Arial" w:hAnsi="Arial"/>
          <w:color w:val="1A3A5C"/>
        </w:rPr>
        <w:t>1. Objetivo</w:t>
      </w:r>
    </w:p>
    <w:p>
      <w:r>
        <w:rPr>
          <w:rFonts w:ascii="Arial" w:hAnsi="Arial"/>
        </w:rPr>
        <w:t xml:space="preserve">Formalizar, com base nas normas técnicas de avaliação em massa, um </w:t>
      </w:r>
      <w:r>
        <w:rPr>
          <w:rFonts w:ascii="Arial" w:hAnsi="Arial"/>
          <w:b/>
        </w:rPr>
        <w:t>regime de referência assistida</w:t>
      </w:r>
      <w:r>
        <w:rPr>
          <w:rFonts w:ascii="Arial" w:hAnsi="Arial"/>
        </w:rPr>
        <w:t xml:space="preserve"> para tipologias de imóvel que </w:t>
      </w:r>
      <w:r>
        <w:rPr>
          <w:rFonts w:ascii="Arial" w:hAnsi="Arial"/>
          <w:b/>
        </w:rPr>
        <w:t>ainda não possuem modelo de mercado validado</w:t>
      </w:r>
      <w:r>
        <w:rPr>
          <w:rFonts w:ascii="Arial" w:hAnsi="Arial"/>
        </w:rPr>
        <w:t xml:space="preserve"> (casa, loja, sala, terreno e segmentos menores), e para </w:t>
      </w:r>
      <w:r>
        <w:rPr>
          <w:rFonts w:ascii="Arial" w:hAnsi="Arial"/>
          <w:b/>
        </w:rPr>
        <w:t>apartamentos atípicos / de alto valor</w:t>
      </w:r>
      <w:r>
        <w:rPr>
          <w:rFonts w:ascii="Arial" w:hAnsi="Arial"/>
        </w:rPr>
        <w:t xml:space="preserve"> fora do envelope confiável da amostra.</w:t>
      </w:r>
    </w:p>
    <w:p>
      <w:r>
        <w:rPr>
          <w:rFonts w:ascii="Arial" w:hAnsi="Arial"/>
        </w:rPr>
        <w:t xml:space="preserve">A proposta responde à exigência de haver </w:t>
      </w:r>
      <w:r>
        <w:rPr>
          <w:rFonts w:ascii="Arial" w:hAnsi="Arial"/>
          <w:b/>
        </w:rPr>
        <w:t>especificação para todos os tipos de imóvel</w:t>
      </w:r>
      <w:r>
        <w:rPr>
          <w:rFonts w:ascii="Arial" w:hAnsi="Arial"/>
        </w:rPr>
        <w:t xml:space="preserve">, ainda que, em parte deles, a linha adotada seja a da </w:t>
      </w:r>
      <w:r>
        <w:rPr>
          <w:rFonts w:ascii="Arial" w:hAnsi="Arial"/>
          <w:b/>
        </w:rPr>
        <w:t>PGV / valor venal cadastral</w:t>
      </w:r>
      <w:r>
        <w:rPr>
          <w:rFonts w:ascii="Arial" w:hAnsi="Arial"/>
        </w:rPr>
        <w:t>, com decisão humana — e não um modelo de machine learning forçado sobre amostra insuficiente.</w:t>
      </w:r>
    </w:p>
    <w:p/>
    <w:p>
      <w:pPr>
        <w:pStyle w:val="Heading2"/>
      </w:pPr>
      <w:r>
        <w:rPr>
          <w:rFonts w:ascii="Arial" w:hAnsi="Arial"/>
          <w:color w:val="1A3A5C"/>
        </w:rPr>
        <w:t>2. Contexto do problema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88"/>
        <w:gridCol w:w="4788"/>
      </w:tblGrid>
      <w:tr>
        <w:tc>
          <w:tcPr>
            <w:tcW w:type="dxa" w:w="4788"/>
            <w:shd w:val="clear" w:color="auto" w:fill="1A3A5C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Situação</w:t>
            </w:r>
          </w:p>
        </w:tc>
        <w:tc>
          <w:tcPr>
            <w:tcW w:type="dxa" w:w="4788"/>
            <w:shd w:val="clear" w:color="auto" w:fill="1A3A5C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Evidência no projeto</w:t>
            </w:r>
          </w:p>
        </w:tc>
      </w:tr>
      <w:tr>
        <w:tc>
          <w:tcPr>
            <w:tcW w:type="dxa" w:w="4788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Modelo ML validado só para apartamentos</w:t>
            </w:r>
          </w:p>
        </w:tc>
        <w:tc>
          <w:tcPr>
            <w:tcW w:type="dxa" w:w="4788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Etapas 4 e 5 aprovadas em 14/07/2026; metas IAAO atendidas</w:t>
            </w:r>
          </w:p>
        </w:tc>
      </w:tr>
      <w:tr>
        <w:tc>
          <w:tcPr>
            <w:tcW w:type="dxa" w:w="4788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Apartamentos ≈ 80% da base limpa</w:t>
            </w:r>
          </w:p>
        </w:tc>
        <w:tc>
          <w:tcPr>
            <w:tcW w:type="dxa" w:w="4788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97.990 de 121.932 transações</w:t>
            </w:r>
          </w:p>
        </w:tc>
      </w:tr>
      <w:tr>
        <w:tc>
          <w:tcPr>
            <w:tcW w:type="dxa" w:w="4788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Casa, loja, terreno com massa limitada após filtros</w:t>
            </w:r>
          </w:p>
        </w:tc>
        <w:tc>
          <w:tcPr>
            <w:tcW w:type="dxa" w:w="4788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Casa ~3.050; Loja ~734; Terreno ~292 (VLITIV&gt;0 e desvio venal ≤±30%)</w:t>
            </w:r>
          </w:p>
        </w:tc>
      </w:tr>
      <w:tr>
        <w:tc>
          <w:tcPr>
            <w:tcW w:type="dxa" w:w="4788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Avaliador novo recusa tipologias sem modelo</w:t>
            </w:r>
          </w:p>
        </w:tc>
        <w:tc>
          <w:tcPr>
            <w:tcW w:type="dxa" w:w="4788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Comportamento atual: mensagem de erro se não for Apartamento</w:t>
            </w:r>
          </w:p>
        </w:tc>
      </w:tr>
      <w:tr>
        <w:tc>
          <w:tcPr>
            <w:tcW w:type="dxa" w:w="4788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Direção exige especificação para todos os tipos</w:t>
            </w:r>
          </w:p>
        </w:tc>
        <w:tc>
          <w:tcPr>
            <w:tcW w:type="dxa" w:w="4788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Alinhamento de 20/07/2026 — “ainda que seja adotar a linha da PGV”</w:t>
            </w:r>
          </w:p>
        </w:tc>
      </w:tr>
    </w:tbl>
    <w:p/>
    <w:p>
      <w:r>
        <w:rPr>
          <w:rFonts w:ascii="Arial" w:hAnsi="Arial"/>
        </w:rPr>
      </w:r>
      <w:r>
        <w:rPr>
          <w:rFonts w:ascii="Arial" w:hAnsi="Arial"/>
          <w:b/>
        </w:rPr>
        <w:t>Decisão já registrada (22/06/2026):</w:t>
      </w:r>
      <w:r>
        <w:rPr>
          <w:rFonts w:ascii="Arial" w:hAnsi="Arial"/>
        </w:rPr>
        <w:t xml:space="preserve"> escopo inicial só apartamentos; demais tipologias em fase posterior. Esta proposta </w:t>
      </w:r>
      <w:r>
        <w:rPr>
          <w:rFonts w:ascii="Arial" w:hAnsi="Arial"/>
          <w:b/>
        </w:rPr>
        <w:t>não anula</w:t>
      </w:r>
      <w:r>
        <w:rPr>
          <w:rFonts w:ascii="Arial" w:hAnsi="Arial"/>
        </w:rPr>
        <w:t xml:space="preserve"> essa decisão: ela </w:t>
      </w:r>
      <w:r>
        <w:rPr>
          <w:rFonts w:ascii="Arial" w:hAnsi="Arial"/>
          <w:b/>
        </w:rPr>
        <w:t>preenche a lacuna operacional</w:t>
      </w:r>
      <w:r>
        <w:rPr>
          <w:rFonts w:ascii="Arial" w:hAnsi="Arial"/>
        </w:rPr>
        <w:t xml:space="preserve"> até existir modelo próprio por segmento.</w:t>
      </w:r>
    </w:p>
    <w:p/>
    <w:p>
      <w:pPr>
        <w:pStyle w:val="Heading2"/>
      </w:pPr>
      <w:r>
        <w:rPr>
          <w:rFonts w:ascii="Arial" w:hAnsi="Arial"/>
          <w:color w:val="1A3A5C"/>
        </w:rPr>
        <w:t>3. O que é a referência assistida</w:t>
      </w:r>
    </w:p>
    <w:p>
      <w:pPr>
        <w:pStyle w:val="Heading3"/>
      </w:pPr>
      <w:r>
        <w:rPr>
          <w:rFonts w:ascii="Arial" w:hAnsi="Arial"/>
          <w:color w:val="1A3A5C"/>
        </w:rPr>
        <w:t>3.1 Definição</w:t>
      </w:r>
    </w:p>
    <w:p>
      <w:r>
        <w:rPr>
          <w:rFonts w:ascii="Arial" w:hAnsi="Arial"/>
        </w:rPr>
      </w:r>
      <w:r>
        <w:rPr>
          <w:rFonts w:ascii="Arial" w:hAnsi="Arial"/>
          <w:b/>
        </w:rPr>
        <w:t>Referência assistida</w:t>
      </w:r>
      <w:r>
        <w:rPr>
          <w:rFonts w:ascii="Arial" w:hAnsi="Arial"/>
        </w:rPr>
        <w:t xml:space="preserve"> é o regime em que o sistema:</w:t>
      </w:r>
    </w:p>
    <w:p>
      <w:pPr>
        <w:pStyle w:val="ListNumber"/>
      </w:pPr>
      <w:r>
        <w:rPr>
          <w:rFonts w:ascii="Arial" w:hAnsi="Arial"/>
        </w:rPr>
        <w:t>identifica a tipologia e o enquadramento (típico / atípico);</w:t>
      </w:r>
    </w:p>
    <w:p>
      <w:pPr>
        <w:pStyle w:val="ListNumber"/>
      </w:pPr>
      <w:r>
        <w:rPr>
          <w:rFonts w:ascii="Arial" w:hAnsi="Arial"/>
        </w:rPr>
        <w:t xml:space="preserve">apresenta o </w:t>
      </w:r>
      <w:r>
        <w:rPr>
          <w:rFonts w:ascii="Arial" w:hAnsi="Arial"/>
          <w:b/>
        </w:rPr>
        <w:t>valor venal cadastral</w:t>
      </w:r>
      <w:r>
        <w:rPr>
          <w:rFonts w:ascii="Arial" w:hAnsi="Arial"/>
        </w:rPr>
        <w:t xml:space="preserve"> decorrente da </w:t>
      </w:r>
      <w:r>
        <w:rPr>
          <w:rFonts w:ascii="Arial" w:hAnsi="Arial"/>
          <w:b/>
        </w:rPr>
        <w:t>PGV</w:t>
      </w:r>
      <w:r>
        <w:rPr>
          <w:rFonts w:ascii="Arial" w:hAnsi="Arial"/>
        </w:rPr>
        <w:t xml:space="preserve"> (e dados cadastrais associados);</w:t>
      </w:r>
    </w:p>
    <w:p>
      <w:pPr>
        <w:pStyle w:val="ListNumber"/>
      </w:pPr>
      <w:r>
        <w:rPr>
          <w:rFonts w:ascii="Arial" w:hAnsi="Arial"/>
        </w:rPr>
        <w:t xml:space="preserve">informa, de forma explícita, que </w:t>
      </w:r>
      <w:r>
        <w:rPr>
          <w:rFonts w:ascii="Arial" w:hAnsi="Arial"/>
          <w:b/>
        </w:rPr>
        <w:t>não se trata</w:t>
      </w:r>
      <w:r>
        <w:rPr>
          <w:rFonts w:ascii="Arial" w:hAnsi="Arial"/>
        </w:rPr>
        <w:t xml:space="preserve"> da estimativa de mercado do modelo validado;</w:t>
      </w:r>
    </w:p>
    <w:p>
      <w:pPr>
        <w:pStyle w:val="ListNumber"/>
      </w:pPr>
      <w:r>
        <w:rPr>
          <w:rFonts w:ascii="Arial" w:hAnsi="Arial"/>
        </w:rPr>
      </w:r>
      <w:r>
        <w:rPr>
          <w:rFonts w:ascii="Arial" w:hAnsi="Arial"/>
          <w:b/>
        </w:rPr>
        <w:t>não autua automaticamente</w:t>
      </w:r>
      <w:r>
        <w:rPr>
          <w:rFonts w:ascii="Arial" w:hAnsi="Arial"/>
        </w:rPr>
        <w:t xml:space="preserve"> com o mesmo limiar de confiança do modelo de apartamentos;</w:t>
      </w:r>
    </w:p>
    <w:p>
      <w:pPr>
        <w:pStyle w:val="ListNumber"/>
      </w:pPr>
      <w:r>
        <w:rPr>
          <w:rFonts w:ascii="Arial" w:hAnsi="Arial"/>
        </w:rPr>
        <w:t>registra o regime usado;</w:t>
      </w:r>
    </w:p>
    <w:p>
      <w:pPr>
        <w:pStyle w:val="ListNumber"/>
      </w:pPr>
      <w:r>
        <w:rPr>
          <w:rFonts w:ascii="Arial" w:hAnsi="Arial"/>
        </w:rPr>
        <w:t xml:space="preserve">deixa a </w:t>
      </w:r>
      <w:r>
        <w:rPr>
          <w:rFonts w:ascii="Arial" w:hAnsi="Arial"/>
          <w:b/>
        </w:rPr>
        <w:t>decisão</w:t>
      </w:r>
      <w:r>
        <w:rPr>
          <w:rFonts w:ascii="Arial" w:hAnsi="Arial"/>
        </w:rPr>
        <w:t xml:space="preserve"> (aceitar, diligenciar, arbitrar ou encaminhar laudo) ao </w:t>
      </w:r>
      <w:r>
        <w:rPr>
          <w:rFonts w:ascii="Arial" w:hAnsi="Arial"/>
          <w:b/>
        </w:rPr>
        <w:t>avaliador humano</w:t>
      </w:r>
      <w:r>
        <w:rPr>
          <w:rFonts w:ascii="Arial" w:hAnsi="Arial"/>
        </w:rPr>
        <w:t>.</w:t>
      </w:r>
    </w:p>
    <w:p>
      <w:pPr>
        <w:pStyle w:val="Heading3"/>
      </w:pPr>
      <w:r>
        <w:rPr>
          <w:rFonts w:ascii="Arial" w:hAnsi="Arial"/>
          <w:color w:val="1A3A5C"/>
        </w:rPr>
        <w:t>3.2 O que a PGV é (e o que não é)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88"/>
        <w:gridCol w:w="4788"/>
      </w:tblGrid>
      <w:tr>
        <w:tc>
          <w:tcPr>
            <w:tcW w:type="dxa" w:w="4788"/>
            <w:shd w:val="clear" w:color="auto" w:fill="1A3A5C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PGV / valor venal</w:t>
            </w:r>
          </w:p>
        </w:tc>
        <w:tc>
          <w:tcPr>
            <w:tcW w:type="dxa" w:w="4788"/>
            <w:shd w:val="clear" w:color="auto" w:fill="1A3A5C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Modelo de mercado (apartamentos)</w:t>
            </w:r>
          </w:p>
        </w:tc>
      </w:tr>
      <w:tr>
        <w:tc>
          <w:tcPr>
            <w:tcW w:type="dxa" w:w="4788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Instrumento cadastral da Prefeitura (planta de valores + fatores)</w:t>
            </w:r>
          </w:p>
        </w:tc>
        <w:tc>
          <w:tcPr>
            <w:tcW w:type="dxa" w:w="4788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Inferência estatística / ML sobre transações de compra e venda</w:t>
            </w:r>
          </w:p>
        </w:tc>
      </w:tr>
      <w:tr>
        <w:tc>
          <w:tcPr>
            <w:tcW w:type="dxa" w:w="4788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 xml:space="preserve">Base típica do </w:t>
            </w:r>
            <w:r>
              <w:rPr>
                <w:rFonts w:ascii="Arial" w:hAnsi="Arial"/>
                <w:b/>
                <w:sz w:val="19"/>
              </w:rPr>
              <w:t>IPTU</w:t>
            </w:r>
            <w:r>
              <w:rPr>
                <w:rFonts w:ascii="Arial" w:hAnsi="Arial"/>
                <w:sz w:val="19"/>
              </w:rPr>
            </w:r>
          </w:p>
        </w:tc>
        <w:tc>
          <w:tcPr>
            <w:tcW w:type="dxa" w:w="4788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 xml:space="preserve">Estimativa de </w:t>
            </w:r>
            <w:r>
              <w:rPr>
                <w:rFonts w:ascii="Arial" w:hAnsi="Arial"/>
                <w:b/>
                <w:sz w:val="19"/>
              </w:rPr>
              <w:t>valor de mercado</w:t>
            </w:r>
            <w:r>
              <w:rPr>
                <w:rFonts w:ascii="Arial" w:hAnsi="Arial"/>
                <w:sz w:val="19"/>
              </w:rPr>
              <w:t xml:space="preserve"> para apoio ao ITIV</w:t>
            </w:r>
          </w:p>
        </w:tc>
      </w:tr>
      <w:tr>
        <w:tc>
          <w:tcPr>
            <w:tcW w:type="dxa" w:w="4788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 xml:space="preserve">Disponível para </w:t>
            </w:r>
            <w:r>
              <w:rPr>
                <w:rFonts w:ascii="Arial" w:hAnsi="Arial"/>
                <w:b/>
                <w:sz w:val="19"/>
              </w:rPr>
              <w:t>todos</w:t>
            </w:r>
            <w:r>
              <w:rPr>
                <w:rFonts w:ascii="Arial" w:hAnsi="Arial"/>
                <w:sz w:val="19"/>
              </w:rPr>
              <w:t xml:space="preserve"> os imóveis cadastrados</w:t>
            </w:r>
          </w:p>
        </w:tc>
        <w:tc>
          <w:tcPr>
            <w:tcW w:type="dxa" w:w="4788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Validado só onde há amostra e estudo de razões</w:t>
            </w:r>
          </w:p>
        </w:tc>
      </w:tr>
      <w:tr>
        <w:tc>
          <w:tcPr>
            <w:tcW w:type="dxa" w:w="4788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Nos testes do projeto, venal ~15% abaixo do mercado (aptos)</w:t>
            </w:r>
          </w:p>
        </w:tc>
        <w:tc>
          <w:tcPr>
            <w:tcW w:type="dxa" w:w="4788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Razão mediana ~0,999; COD 9,6% (teste final)</w:t>
            </w:r>
          </w:p>
        </w:tc>
      </w:tr>
    </w:tbl>
    <w:p/>
    <w:p>
      <w:r>
        <w:rPr>
          <w:rFonts w:ascii="Arial" w:hAnsi="Arial"/>
        </w:rPr>
      </w:r>
      <w:r>
        <w:rPr>
          <w:rFonts w:ascii="Arial" w:hAnsi="Arial"/>
          <w:b/>
        </w:rPr>
        <w:t>PGV (Planta Genérica de Valores):</w:t>
      </w:r>
      <w:r>
        <w:rPr>
          <w:rFonts w:ascii="Arial" w:hAnsi="Arial"/>
        </w:rPr>
        <w:t xml:space="preserve"> define valores unitários de referência (em geral R$/m² de terreno e de construção por zona/setor), que, combinados a áreas e fatores cadastrais (padrão, uso, correções), geram o </w:t>
      </w:r>
      <w:r>
        <w:rPr>
          <w:rFonts w:ascii="Arial" w:hAnsi="Arial"/>
          <w:b/>
        </w:rPr>
        <w:t>valor venal</w:t>
      </w:r>
      <w:r>
        <w:rPr>
          <w:rFonts w:ascii="Arial" w:hAnsi="Arial"/>
        </w:rPr>
        <w:t xml:space="preserve"> do imóvel.</w:t>
      </w:r>
    </w:p>
    <w:p>
      <w:r>
        <w:rPr>
          <w:rFonts w:ascii="Arial" w:hAnsi="Arial"/>
        </w:rPr>
        <w:t>Nos dados do ITIV, o produto prático da PGV aparece principalmente como:</w:t>
      </w:r>
    </w:p>
    <w:p>
      <w:pPr>
        <w:pStyle w:val="ListBullet"/>
      </w:pPr>
      <w:r>
        <w:rPr>
          <w:rFonts w:ascii="Arial" w:hAnsi="Arial"/>
        </w:rPr>
        <w:t>`VLVENALCADASTRO` — valor venal no cadastro (~100% preenchido na base limpa);</w:t>
      </w:r>
    </w:p>
    <w:p>
      <w:pPr>
        <w:pStyle w:val="ListBullet"/>
      </w:pPr>
      <w:r>
        <w:rPr>
          <w:rFonts w:ascii="Arial" w:hAnsi="Arial"/>
        </w:rPr>
        <w:t>`VLVENALCORRIGIDO` — venal corrigido (~97%);</w:t>
      </w:r>
    </w:p>
    <w:p>
      <w:pPr>
        <w:pStyle w:val="ListBullet"/>
      </w:pPr>
      <w:r>
        <w:rPr>
          <w:rFonts w:ascii="Arial" w:hAnsi="Arial"/>
        </w:rPr>
        <w:t>fatores `VLFCTERRENO`, `VLFCCONSTRUCAO`, `VLFCVALORVENAL`;</w:t>
      </w:r>
    </w:p>
    <w:p>
      <w:pPr>
        <w:pStyle w:val="ListBullet"/>
      </w:pPr>
      <w:r>
        <w:rPr>
          <w:rFonts w:ascii="Arial" w:hAnsi="Arial"/>
        </w:rPr>
        <w:t>localização via `CDSETORFISCAL` e áreas do cadastro.</w:t>
      </w:r>
    </w:p>
    <w:p>
      <w:pPr>
        <w:pStyle w:val="Heading3"/>
      </w:pPr>
      <w:r>
        <w:rPr>
          <w:rFonts w:ascii="Arial" w:hAnsi="Arial"/>
          <w:color w:val="1A3A5C"/>
        </w:rPr>
        <w:t>3.3 Três regimes operacionais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  <w:shd w:val="clear" w:color="auto" w:fill="1A3A5C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Código</w:t>
            </w:r>
          </w:p>
        </w:tc>
        <w:tc>
          <w:tcPr>
            <w:tcW w:type="dxa" w:w="3192"/>
            <w:shd w:val="clear" w:color="auto" w:fill="1A3A5C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Nome</w:t>
            </w:r>
          </w:p>
        </w:tc>
        <w:tc>
          <w:tcPr>
            <w:tcW w:type="dxa" w:w="3192"/>
            <w:shd w:val="clear" w:color="auto" w:fill="1A3A5C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Uso</w:t>
            </w:r>
          </w:p>
        </w:tc>
      </w:tr>
      <w:tr>
        <w:tc>
          <w:tcPr>
            <w:tcW w:type="dxa" w:w="3192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`MERCADO_ML`</w:t>
            </w:r>
          </w:p>
        </w:tc>
        <w:tc>
          <w:tcPr>
            <w:tcW w:type="dxa" w:w="3192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Estimativa de mercado (modelo)</w:t>
            </w:r>
          </w:p>
        </w:tc>
        <w:tc>
          <w:tcPr>
            <w:tcW w:type="dxa" w:w="3192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Apartamento na faixa validada</w:t>
            </w:r>
          </w:p>
        </w:tc>
      </w:tr>
      <w:tr>
        <w:tc>
          <w:tcPr>
            <w:tcW w:type="dxa" w:w="3192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`PGV_ASSISTIDO`</w:t>
            </w:r>
          </w:p>
        </w:tc>
        <w:tc>
          <w:tcPr>
            <w:tcW w:type="dxa" w:w="3192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Referência assistida (PGV/venal)</w:t>
            </w:r>
          </w:p>
        </w:tc>
        <w:tc>
          <w:tcPr>
            <w:tcW w:type="dxa" w:w="3192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Casa, loja, sala e demais com venal utilizável, sem modelo de mercado</w:t>
            </w:r>
          </w:p>
        </w:tc>
      </w:tr>
      <w:tr>
        <w:tc>
          <w:tcPr>
            <w:tcW w:type="dxa" w:w="3192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`AVALIACAO_INDIVIDUAL`</w:t>
            </w:r>
          </w:p>
        </w:tc>
        <w:tc>
          <w:tcPr>
            <w:tcW w:type="dxa" w:w="3192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Avaliação individual</w:t>
            </w:r>
          </w:p>
        </w:tc>
        <w:tc>
          <w:tcPr>
            <w:tcW w:type="dxa" w:w="3192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Terreno, tipologias raras, atípicos, aptos fora do envelope</w:t>
            </w:r>
          </w:p>
        </w:tc>
      </w:tr>
    </w:tbl>
    <w:p/>
    <w:p>
      <w:pPr>
        <w:pStyle w:val="Heading3"/>
      </w:pPr>
      <w:r>
        <w:rPr>
          <w:rFonts w:ascii="Arial" w:hAnsi="Arial"/>
          <w:color w:val="1A3A5C"/>
        </w:rPr>
        <w:t>3.4 Matriz por tipologia (proposta)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94"/>
        <w:gridCol w:w="2394"/>
        <w:gridCol w:w="2394"/>
        <w:gridCol w:w="2394"/>
      </w:tblGrid>
      <w:tr>
        <w:tc>
          <w:tcPr>
            <w:tcW w:type="dxa" w:w="2394"/>
            <w:shd w:val="clear" w:color="auto" w:fill="1A3A5C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Tipologia</w:t>
            </w:r>
          </w:p>
        </w:tc>
        <w:tc>
          <w:tcPr>
            <w:tcW w:type="dxa" w:w="2394"/>
            <w:shd w:val="clear" w:color="auto" w:fill="1A3A5C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Regime V1</w:t>
            </w:r>
          </w:p>
        </w:tc>
        <w:tc>
          <w:tcPr>
            <w:tcW w:type="dxa" w:w="2394"/>
            <w:shd w:val="clear" w:color="auto" w:fill="1A3A5C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Fonte</w:t>
            </w:r>
          </w:p>
        </w:tc>
        <w:tc>
          <w:tcPr>
            <w:tcW w:type="dxa" w:w="2394"/>
            <w:shd w:val="clear" w:color="auto" w:fill="1A3A5C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Sinalização automática ITIV?</w:t>
            </w:r>
          </w:p>
        </w:tc>
      </w:tr>
      <w:tr>
        <w:tc>
          <w:tcPr>
            <w:tcW w:type="dxa" w:w="2394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Apartamento (faixa da amostra)</w:t>
            </w:r>
          </w:p>
        </w:tc>
        <w:tc>
          <w:tcPr>
            <w:tcW w:type="dxa" w:w="2394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`MERCADO_ML`</w:t>
            </w:r>
          </w:p>
        </w:tc>
        <w:tc>
          <w:tcPr>
            <w:tcW w:type="dxa" w:w="2394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LightGBM + hedônico âncora</w:t>
            </w:r>
          </w:p>
        </w:tc>
        <w:tc>
          <w:tcPr>
            <w:tcW w:type="dxa" w:w="2394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Sim (confiança 90%)</w:t>
            </w:r>
          </w:p>
        </w:tc>
      </w:tr>
      <w:tr>
        <w:tc>
          <w:tcPr>
            <w:tcW w:type="dxa" w:w="2394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Apartamento atípico / alto valor</w:t>
            </w:r>
          </w:p>
        </w:tc>
        <w:tc>
          <w:tcPr>
            <w:tcW w:type="dxa" w:w="2394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`AVALIACAO_INDIVIDUAL`</w:t>
            </w:r>
          </w:p>
        </w:tc>
        <w:tc>
          <w:tcPr>
            <w:tcW w:type="dxa" w:w="2394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 xml:space="preserve">Estimativa ML com </w:t>
            </w:r>
            <w:r>
              <w:rPr>
                <w:rFonts w:ascii="Arial" w:hAnsi="Arial"/>
                <w:b/>
                <w:sz w:val="19"/>
              </w:rPr>
              <w:t>alerta</w:t>
            </w:r>
            <w:r>
              <w:rPr>
                <w:rFonts w:ascii="Arial" w:hAnsi="Arial"/>
                <w:sz w:val="19"/>
              </w:rPr>
              <w:t xml:space="preserve"> + PGV de apoio</w:t>
            </w:r>
          </w:p>
        </w:tc>
        <w:tc>
          <w:tcPr>
            <w:tcW w:type="dxa" w:w="2394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Não pelo ponto central isolado</w:t>
            </w:r>
          </w:p>
        </w:tc>
      </w:tr>
      <w:tr>
        <w:tc>
          <w:tcPr>
            <w:tcW w:type="dxa" w:w="2394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Casa</w:t>
            </w:r>
          </w:p>
        </w:tc>
        <w:tc>
          <w:tcPr>
            <w:tcW w:type="dxa" w:w="2394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`PGV_ASSISTIDO`</w:t>
            </w:r>
          </w:p>
        </w:tc>
        <w:tc>
          <w:tcPr>
            <w:tcW w:type="dxa" w:w="2394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Venal/PGV</w:t>
            </w:r>
          </w:p>
        </w:tc>
        <w:tc>
          <w:tcPr>
            <w:tcW w:type="dxa" w:w="2394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Não — auditor decide</w:t>
            </w:r>
          </w:p>
        </w:tc>
      </w:tr>
      <w:tr>
        <w:tc>
          <w:tcPr>
            <w:tcW w:type="dxa" w:w="2394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Loja / Sala / Sobre-loja</w:t>
            </w:r>
          </w:p>
        </w:tc>
        <w:tc>
          <w:tcPr>
            <w:tcW w:type="dxa" w:w="2394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`PGV_ASSISTIDO`</w:t>
            </w:r>
          </w:p>
        </w:tc>
        <w:tc>
          <w:tcPr>
            <w:tcW w:type="dxa" w:w="2394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Venal/PGV</w:t>
            </w:r>
          </w:p>
        </w:tc>
        <w:tc>
          <w:tcPr>
            <w:tcW w:type="dxa" w:w="2394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Não — auditor decide</w:t>
            </w:r>
          </w:p>
        </w:tc>
      </w:tr>
      <w:tr>
        <w:tc>
          <w:tcPr>
            <w:tcW w:type="dxa" w:w="2394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Terreno</w:t>
            </w:r>
          </w:p>
        </w:tc>
        <w:tc>
          <w:tcPr>
            <w:tcW w:type="dxa" w:w="2394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`AVALIACAO_INDIVIDUAL`</w:t>
            </w:r>
          </w:p>
        </w:tc>
        <w:tc>
          <w:tcPr>
            <w:tcW w:type="dxa" w:w="2394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Venal ou laudo</w:t>
            </w:r>
          </w:p>
        </w:tc>
        <w:tc>
          <w:tcPr>
            <w:tcW w:type="dxa" w:w="2394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Não</w:t>
            </w:r>
          </w:p>
        </w:tc>
      </w:tr>
      <w:tr>
        <w:tc>
          <w:tcPr>
            <w:tcW w:type="dxa" w:w="2394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Garagem, box, galpão, outros</w:t>
            </w:r>
          </w:p>
        </w:tc>
        <w:tc>
          <w:tcPr>
            <w:tcW w:type="dxa" w:w="2394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`AVALIACAO_INDIVIDUAL`</w:t>
            </w:r>
          </w:p>
        </w:tc>
        <w:tc>
          <w:tcPr>
            <w:tcW w:type="dxa" w:w="2394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Laudo / análise</w:t>
            </w:r>
          </w:p>
        </w:tc>
        <w:tc>
          <w:tcPr>
            <w:tcW w:type="dxa" w:w="2394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Não</w:t>
            </w:r>
          </w:p>
        </w:tc>
      </w:tr>
    </w:tbl>
    <w:p/>
    <w:p>
      <w:pPr>
        <w:pStyle w:val="Heading3"/>
      </w:pPr>
      <w:r>
        <w:rPr>
          <w:rFonts w:ascii="Arial" w:hAnsi="Arial"/>
          <w:color w:val="1A3A5C"/>
        </w:rPr>
        <w:t>3.5 Fluxo na tela / no processo</w:t>
      </w:r>
    </w:p>
    <w:p>
      <w:r>
        <w:rPr>
          <w:rFonts w:ascii="Arial" w:hAnsi="Arial"/>
        </w:rPr>
        <w:t>Para regime `PGV_ASSISTIDO`, o sistema deve exibir no mínimo:</w:t>
      </w:r>
    </w:p>
    <w:p>
      <w:pPr>
        <w:pStyle w:val="ListNumber"/>
      </w:pPr>
      <w:r>
        <w:rPr>
          <w:rFonts w:ascii="Arial" w:hAnsi="Arial"/>
        </w:rPr>
        <w:t>tipología e inscrição;</w:t>
      </w:r>
    </w:p>
    <w:p>
      <w:pPr>
        <w:pStyle w:val="ListNumber"/>
      </w:pPr>
      <w:r>
        <w:rPr>
          <w:rFonts w:ascii="Arial" w:hAnsi="Arial"/>
        </w:rPr>
        <w:t>valor venal cadastral;</w:t>
      </w:r>
    </w:p>
    <w:p>
      <w:pPr>
        <w:pStyle w:val="ListNumber"/>
      </w:pPr>
      <w:r>
        <w:rPr>
          <w:rFonts w:ascii="Arial" w:hAnsi="Arial"/>
        </w:rPr>
        <w:t>áreas e setor fiscal;</w:t>
      </w:r>
    </w:p>
    <w:p>
      <w:pPr>
        <w:pStyle w:val="ListNumber"/>
      </w:pPr>
      <w:r>
        <w:rPr>
          <w:rFonts w:ascii="Arial" w:hAnsi="Arial"/>
        </w:rPr>
        <w:t>valor declarado na transmissão (quando houver);</w:t>
      </w:r>
    </w:p>
    <w:p>
      <w:pPr>
        <w:pStyle w:val="ListNumber"/>
      </w:pPr>
      <w:r>
        <w:rPr>
          <w:rFonts w:ascii="Arial" w:hAnsi="Arial"/>
        </w:rPr>
        <w:t>diferença percentual declarado × venal (informativa);</w:t>
      </w:r>
    </w:p>
    <w:p>
      <w:pPr>
        <w:pStyle w:val="ListNumber"/>
      </w:pPr>
      <w:r>
        <w:rPr>
          <w:rFonts w:ascii="Arial" w:hAnsi="Arial"/>
        </w:rPr>
        <w:t>texto fixo de enquadramento normativo (seção 5.4);</w:t>
      </w:r>
    </w:p>
    <w:p>
      <w:pPr>
        <w:pStyle w:val="ListNumber"/>
      </w:pPr>
      <w:r>
        <w:rPr>
          <w:rFonts w:ascii="Arial" w:hAnsi="Arial"/>
        </w:rPr>
        <w:t>campos de decisão do auditor e código do regime no log/export.</w:t>
      </w:r>
    </w:p>
    <w:p/>
    <w:p>
      <w:pPr>
        <w:pStyle w:val="Heading2"/>
      </w:pPr>
      <w:r>
        <w:rPr>
          <w:rFonts w:ascii="Arial" w:hAnsi="Arial"/>
          <w:color w:val="1A3A5C"/>
        </w:rPr>
        <w:t>4. Fundamentação nas normas técnicas</w:t>
      </w:r>
    </w:p>
    <w:p>
      <w:r>
        <w:rPr>
          <w:rFonts w:ascii="Arial" w:hAnsi="Arial"/>
        </w:rPr>
        <w:t>Normas de referência do projeto (já adotadas em `FUNDAMENTACAO_NORMATIVA.md`):</w:t>
      </w:r>
    </w:p>
    <w:p>
      <w:pPr>
        <w:pStyle w:val="ListBullet"/>
      </w:pPr>
      <w:r>
        <w:rPr>
          <w:rFonts w:ascii="Arial" w:hAnsi="Arial"/>
        </w:rPr>
        <w:t>ABNT NBR 14653-1:2019 — Avaliação de bens — procedimentos gerais</w:t>
      </w:r>
    </w:p>
    <w:p>
      <w:pPr>
        <w:pStyle w:val="ListBullet"/>
      </w:pPr>
      <w:r>
        <w:rPr>
          <w:rFonts w:ascii="Arial" w:hAnsi="Arial"/>
        </w:rPr>
        <w:t>ABNT NBR 14653-2:2011 — Imóveis urbanos</w:t>
      </w:r>
    </w:p>
    <w:p>
      <w:pPr>
        <w:pStyle w:val="ListBullet"/>
      </w:pPr>
      <w:r>
        <w:rPr>
          <w:rFonts w:ascii="Arial" w:hAnsi="Arial"/>
        </w:rPr>
        <w:t>IBAPE/SOBREA (2023) — Avaliação em massa para fins tributários</w:t>
      </w:r>
    </w:p>
    <w:p>
      <w:pPr>
        <w:pStyle w:val="ListBullet"/>
      </w:pPr>
      <w:r>
        <w:rPr>
          <w:rFonts w:ascii="Arial" w:hAnsi="Arial"/>
        </w:rPr>
        <w:t>IAAO (2017) — *Standard on Mass Appraisal of Real Property*</w:t>
      </w:r>
    </w:p>
    <w:p>
      <w:pPr>
        <w:pStyle w:val="ListBullet"/>
      </w:pPr>
      <w:r>
        <w:rPr>
          <w:rFonts w:ascii="Arial" w:hAnsi="Arial"/>
        </w:rPr>
        <w:t>IAAO (2013) — *Standard on Ratio Studies*</w:t>
      </w:r>
    </w:p>
    <w:p>
      <w:pPr>
        <w:pStyle w:val="Heading3"/>
      </w:pPr>
      <w:r>
        <w:rPr>
          <w:rFonts w:ascii="Arial" w:hAnsi="Arial"/>
          <w:color w:val="1A3A5C"/>
        </w:rPr>
        <w:t>4.1 Preferência pelo mercado — e limite da amostra</w:t>
      </w:r>
    </w:p>
    <w:p>
      <w:pPr>
        <w:ind w:left="454"/>
      </w:pPr>
      <w:r>
        <w:rPr>
          <w:rFonts w:ascii="Arial" w:hAnsi="Arial"/>
          <w:i/>
          <w:color w:val="444444"/>
          <w:sz w:val="20"/>
        </w:rPr>
        <w:t>IBAPE 7.3.1: para identificação do valor de mercado, sempre que possível preferir o método comparativo direto de dados de mercado.</w:t>
      </w:r>
    </w:p>
    <w:p>
      <w:pPr>
        <w:ind w:left="454"/>
      </w:pPr>
      <w:r>
        <w:rPr>
          <w:rFonts w:ascii="Arial" w:hAnsi="Arial"/>
          <w:i/>
          <w:color w:val="444444"/>
          <w:sz w:val="20"/>
        </w:rPr>
        <w:t>IBAPE 7.3.2: recomenda-se o desenvolvimento de modelos específicos para cada segmento imobiliário.</w:t>
      </w:r>
    </w:p>
    <w:p>
      <w:pPr>
        <w:ind w:left="454"/>
      </w:pPr>
      <w:r>
        <w:rPr>
          <w:rFonts w:ascii="Arial" w:hAnsi="Arial"/>
          <w:i/>
          <w:color w:val="444444"/>
          <w:sz w:val="20"/>
        </w:rPr>
        <w:t>IBAPE 7.6.2: admite-se amostra única com variável que identifique o segmento quando não há dados suficientes por segmento.</w:t>
      </w:r>
    </w:p>
    <w:p>
      <w:r>
        <w:rPr>
          <w:rFonts w:ascii="Arial" w:hAnsi="Arial"/>
        </w:rPr>
      </w:r>
      <w:r>
        <w:rPr>
          <w:rFonts w:ascii="Arial" w:hAnsi="Arial"/>
          <w:b/>
        </w:rPr>
        <w:t>Leitura aplicada:</w:t>
      </w:r>
      <w:r>
        <w:rPr>
          <w:rFonts w:ascii="Arial" w:hAnsi="Arial"/>
        </w:rPr>
        <w:t xml:space="preserve"> o projeto priorizou apartamentos (segmento homogêneo e de maior massa). Para casa/loja/terreno, </w:t>
      </w:r>
      <w:r>
        <w:rPr>
          <w:rFonts w:ascii="Arial" w:hAnsi="Arial"/>
          <w:b/>
        </w:rPr>
        <w:t>não há ainda</w:t>
      </w:r>
      <w:r>
        <w:rPr>
          <w:rFonts w:ascii="Arial" w:hAnsi="Arial"/>
        </w:rPr>
        <w:t xml:space="preserve"> modelo específico validado com as mesmas metas. A referência assistida é o regime </w:t>
      </w:r>
      <w:r>
        <w:rPr>
          <w:rFonts w:ascii="Arial" w:hAnsi="Arial"/>
          <w:b/>
        </w:rPr>
        <w:t>provisório e declarado</w:t>
      </w:r>
      <w:r>
        <w:rPr>
          <w:rFonts w:ascii="Arial" w:hAnsi="Arial"/>
        </w:rPr>
        <w:t xml:space="preserve"> até essa validação existir — não um atalho que finja equivalência ao modelo de apartamentos.</w:t>
      </w:r>
    </w:p>
    <w:p>
      <w:pPr>
        <w:pStyle w:val="Heading3"/>
      </w:pPr>
      <w:r>
        <w:rPr>
          <w:rFonts w:ascii="Arial" w:hAnsi="Arial"/>
          <w:color w:val="1A3A5C"/>
        </w:rPr>
        <w:t>4.2 Quando o modelo genérico não tem acurácia aceitável</w:t>
      </w:r>
    </w:p>
    <w:p>
      <w:pPr>
        <w:ind w:left="454"/>
      </w:pPr>
      <w:r>
        <w:rPr>
          <w:rFonts w:ascii="Arial" w:hAnsi="Arial"/>
          <w:i/>
          <w:color w:val="444444"/>
          <w:sz w:val="20"/>
        </w:rPr>
        <w:t>IBAPE 7.1.3(a): recomenda-se o uso de avaliações individuais para imóveis atípicos cujo valor não possa ser estimado com grau aceitável de acurácia por modelos genéricos.</w:t>
      </w:r>
    </w:p>
    <w:p>
      <w:r>
        <w:rPr>
          <w:rFonts w:ascii="Arial" w:hAnsi="Arial"/>
        </w:rPr>
      </w:r>
      <w:r>
        <w:rPr>
          <w:rFonts w:ascii="Arial" w:hAnsi="Arial"/>
          <w:b/>
        </w:rPr>
        <w:t>Leitura aplicada:</w:t>
      </w:r>
      <w:r>
        <w:rPr>
          <w:rFonts w:ascii="Arial" w:hAnsi="Arial"/>
        </w:rPr>
        <w:t xml:space="preserve"> terreno, tipologias raras e apartamentos fora do envelope da amostra enquadram-se nesse dispositivo. A referência assistida (PGV + auditor) é o </w:t>
      </w:r>
      <w:r>
        <w:rPr>
          <w:rFonts w:ascii="Arial" w:hAnsi="Arial"/>
          <w:b/>
        </w:rPr>
        <w:t>elo operacional</w:t>
      </w:r>
      <w:r>
        <w:rPr>
          <w:rFonts w:ascii="Arial" w:hAnsi="Arial"/>
        </w:rPr>
        <w:t xml:space="preserve"> entre “sem modelo ML” e “avaliação individual / decisão humana”, sem exclusão silenciosa do imóvel.</w:t>
      </w:r>
    </w:p>
    <w:p>
      <w:pPr>
        <w:pStyle w:val="Heading3"/>
      </w:pPr>
      <w:r>
        <w:rPr>
          <w:rFonts w:ascii="Arial" w:hAnsi="Arial"/>
          <w:color w:val="1A3A5C"/>
        </w:rPr>
        <w:t>4.3 Universo coberto; atípicos sinalizados — nunca “apagados”</w:t>
      </w:r>
    </w:p>
    <w:p>
      <w:pPr>
        <w:ind w:left="454"/>
      </w:pPr>
      <w:r>
        <w:rPr>
          <w:rFonts w:ascii="Arial" w:hAnsi="Arial"/>
          <w:i/>
          <w:color w:val="444444"/>
          <w:sz w:val="20"/>
        </w:rPr>
        <w:t>IBAPE 7.6.7: limites das variáveis da amostra devem ser compatíveis com o universo a avaliar.</w:t>
      </w:r>
    </w:p>
    <w:p>
      <w:pPr>
        <w:ind w:left="454"/>
      </w:pPr>
      <w:r>
        <w:rPr>
          <w:rFonts w:ascii="Arial" w:hAnsi="Arial"/>
          <w:i/>
          <w:color w:val="444444"/>
          <w:sz w:val="20"/>
        </w:rPr>
        <w:t>IBAPE 7.9.1: as estimativas resultam da aplicação do(s) modelo(s) ao universo de imóveis.</w:t>
      </w:r>
    </w:p>
    <w:p>
      <w:r>
        <w:rPr>
          <w:rFonts w:ascii="Arial" w:hAnsi="Arial"/>
        </w:rPr>
      </w:r>
      <w:r>
        <w:rPr>
          <w:rFonts w:ascii="Arial" w:hAnsi="Arial"/>
          <w:b/>
        </w:rPr>
        <w:t>Leitura aplicada (já princípio do projeto):</w:t>
      </w:r>
      <w:r>
        <w:rPr>
          <w:rFonts w:ascii="Arial" w:hAnsi="Arial"/>
        </w:rPr>
        <w:t xml:space="preserve"> o treino pode filtrar; a inferência não some com o caso. Tipologias sem modelo ML </w:t>
      </w:r>
      <w:r>
        <w:rPr>
          <w:rFonts w:ascii="Arial" w:hAnsi="Arial"/>
          <w:b/>
        </w:rPr>
        <w:t>continuam no fluxo</w:t>
      </w:r>
      <w:r>
        <w:rPr>
          <w:rFonts w:ascii="Arial" w:hAnsi="Arial"/>
        </w:rPr>
        <w:t>, com regime explícito (`PGV_ASSISTIDO` ou `AVALIACAO_INDIVIDUAL`).</w:t>
      </w:r>
    </w:p>
    <w:p>
      <w:pPr>
        <w:pStyle w:val="Heading3"/>
      </w:pPr>
      <w:r>
        <w:rPr>
          <w:rFonts w:ascii="Arial" w:hAnsi="Arial"/>
          <w:color w:val="1A3A5C"/>
        </w:rPr>
        <w:t>4.4 Machine learning só com justificativa e validação</w:t>
      </w:r>
    </w:p>
    <w:p>
      <w:pPr>
        <w:ind w:left="454"/>
      </w:pPr>
      <w:r>
        <w:rPr>
          <w:rFonts w:ascii="Arial" w:hAnsi="Arial"/>
          <w:i/>
          <w:color w:val="444444"/>
          <w:sz w:val="20"/>
        </w:rPr>
        <w:t>IBAPE 8.1.2: técnicas de aprendizado de máquina podem ser aplicadas desde que devidamente justificadas, com validação.</w:t>
      </w:r>
    </w:p>
    <w:p>
      <w:r>
        <w:rPr>
          <w:rFonts w:ascii="Arial" w:hAnsi="Arial"/>
        </w:rPr>
      </w:r>
      <w:r>
        <w:rPr>
          <w:rFonts w:ascii="Arial" w:hAnsi="Arial"/>
          <w:b/>
        </w:rPr>
        <w:t>Leitura aplicada:</w:t>
      </w:r>
      <w:r>
        <w:rPr>
          <w:rFonts w:ascii="Arial" w:hAnsi="Arial"/>
        </w:rPr>
        <w:t xml:space="preserve"> forçar LightGBM (ou hedônico) em tipologias sem validação de razões (nível geral, COD, PRD/PRB) </w:t>
      </w:r>
      <w:r>
        <w:rPr>
          <w:rFonts w:ascii="Arial" w:hAnsi="Arial"/>
          <w:b/>
        </w:rPr>
        <w:t>viola</w:t>
      </w:r>
      <w:r>
        <w:rPr>
          <w:rFonts w:ascii="Arial" w:hAnsi="Arial"/>
        </w:rPr>
        <w:t xml:space="preserve"> o padrão que o próprio projeto exigiu nas Etapas 4–5. A referência assistida </w:t>
      </w:r>
      <w:r>
        <w:rPr>
          <w:rFonts w:ascii="Arial" w:hAnsi="Arial"/>
          <w:b/>
        </w:rPr>
        <w:t>evita</w:t>
      </w:r>
      <w:r>
        <w:rPr>
          <w:rFonts w:ascii="Arial" w:hAnsi="Arial"/>
        </w:rPr>
        <w:t xml:space="preserve"> essa fragilidade.</w:t>
      </w:r>
    </w:p>
    <w:p>
      <w:pPr>
        <w:pStyle w:val="Heading3"/>
      </w:pPr>
      <w:r>
        <w:rPr>
          <w:rFonts w:ascii="Arial" w:hAnsi="Arial"/>
          <w:color w:val="1A3A5C"/>
        </w:rPr>
        <w:t>4.5 Metas de qualidade por tipo (IAAO)</w:t>
      </w:r>
    </w:p>
    <w:p>
      <w:r>
        <w:rPr>
          <w:rFonts w:ascii="Arial" w:hAnsi="Arial"/>
        </w:rPr>
        <w:t>O *Standard on Ratio Studies* (IAAO, 2013), já citado no projeto, admite faixas de COD distintas por tipo, por exemplo: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88"/>
        <w:gridCol w:w="4788"/>
      </w:tblGrid>
      <w:tr>
        <w:tc>
          <w:tcPr>
            <w:tcW w:type="dxa" w:w="4788"/>
            <w:shd w:val="clear" w:color="auto" w:fill="1A3A5C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Tipo</w:t>
            </w:r>
          </w:p>
        </w:tc>
        <w:tc>
          <w:tcPr>
            <w:tcW w:type="dxa" w:w="4788"/>
            <w:shd w:val="clear" w:color="auto" w:fill="1A3A5C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COD aceitável (referência IAAO)</w:t>
            </w:r>
          </w:p>
        </w:tc>
      </w:tr>
      <w:tr>
        <w:tc>
          <w:tcPr>
            <w:tcW w:type="dxa" w:w="4788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Residencial</w:t>
            </w:r>
          </w:p>
        </w:tc>
        <w:tc>
          <w:tcPr>
            <w:tcW w:type="dxa" w:w="4788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5 a 15</w:t>
            </w:r>
          </w:p>
        </w:tc>
      </w:tr>
      <w:tr>
        <w:tc>
          <w:tcPr>
            <w:tcW w:type="dxa" w:w="4788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Comercial</w:t>
            </w:r>
          </w:p>
        </w:tc>
        <w:tc>
          <w:tcPr>
            <w:tcW w:type="dxa" w:w="4788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5 a 20</w:t>
            </w:r>
          </w:p>
        </w:tc>
      </w:tr>
      <w:tr>
        <w:tc>
          <w:tcPr>
            <w:tcW w:type="dxa" w:w="4788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Terreno</w:t>
            </w:r>
          </w:p>
        </w:tc>
        <w:tc>
          <w:tcPr>
            <w:tcW w:type="dxa" w:w="4788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5 a 25</w:t>
            </w:r>
          </w:p>
        </w:tc>
      </w:tr>
    </w:tbl>
    <w:p/>
    <w:p>
      <w:r>
        <w:rPr>
          <w:rFonts w:ascii="Arial" w:hAnsi="Arial"/>
        </w:rPr>
      </w:r>
      <w:r>
        <w:rPr>
          <w:rFonts w:ascii="Arial" w:hAnsi="Arial"/>
          <w:b/>
        </w:rPr>
        <w:t>Leitura aplicada:</w:t>
      </w:r>
      <w:r>
        <w:rPr>
          <w:rFonts w:ascii="Arial" w:hAnsi="Arial"/>
        </w:rPr>
        <w:t xml:space="preserve"> mesmo com amostra maior no futuro, casa/comercial/terreno devem ser aprovados </w:t>
      </w:r>
      <w:r>
        <w:rPr>
          <w:rFonts w:ascii="Arial" w:hAnsi="Arial"/>
          <w:b/>
        </w:rPr>
        <w:t>com as metas do tipo</w:t>
      </w:r>
      <w:r>
        <w:rPr>
          <w:rFonts w:ascii="Arial" w:hAnsi="Arial"/>
        </w:rPr>
        <w:t>, não com a narrativa do COD 9,6% dos apartamentos.</w:t>
      </w:r>
    </w:p>
    <w:p>
      <w:pPr>
        <w:pStyle w:val="Heading3"/>
      </w:pPr>
      <w:r>
        <w:rPr>
          <w:rFonts w:ascii="Arial" w:hAnsi="Arial"/>
          <w:color w:val="1A3A5C"/>
        </w:rPr>
        <w:t>4.6 IAAO — abordagem diferente quando faltam vendas</w:t>
      </w:r>
    </w:p>
    <w:p>
      <w:r>
        <w:rPr>
          <w:rFonts w:ascii="Arial" w:hAnsi="Arial"/>
        </w:rPr>
        <w:t>O *Standard on Mass Appraisal* (IAAO, 2017) estabelece, em síntese, que:</w:t>
      </w:r>
    </w:p>
    <w:p>
      <w:pPr>
        <w:pStyle w:val="ListBullet"/>
      </w:pPr>
      <w:r>
        <w:rPr>
          <w:rFonts w:ascii="Arial" w:hAnsi="Arial"/>
        </w:rPr>
        <w:t xml:space="preserve">o </w:t>
      </w:r>
      <w:r>
        <w:rPr>
          <w:rFonts w:ascii="Arial" w:hAnsi="Arial"/>
          <w:b/>
        </w:rPr>
        <w:t>comparativo de vendas</w:t>
      </w:r>
      <w:r>
        <w:rPr>
          <w:rFonts w:ascii="Arial" w:hAnsi="Arial"/>
        </w:rPr>
        <w:t xml:space="preserve"> é preferível quando há vendas suficientes;</w:t>
      </w:r>
    </w:p>
    <w:p>
      <w:pPr>
        <w:pStyle w:val="ListBullet"/>
      </w:pPr>
      <w:r>
        <w:rPr>
          <w:rFonts w:ascii="Arial" w:hAnsi="Arial"/>
        </w:rPr>
        <w:t xml:space="preserve">para </w:t>
      </w:r>
      <w:r>
        <w:rPr>
          <w:rFonts w:ascii="Arial" w:hAnsi="Arial"/>
          <w:b/>
        </w:rPr>
        <w:t>comercial/industrial</w:t>
      </w:r>
      <w:r>
        <w:rPr>
          <w:rFonts w:ascii="Arial" w:hAnsi="Arial"/>
        </w:rPr>
        <w:t xml:space="preserve">, se faltam vendas e dados de renda, aplica-se a abordagem de </w:t>
      </w:r>
      <w:r>
        <w:rPr>
          <w:rFonts w:ascii="Arial" w:hAnsi="Arial"/>
          <w:b/>
        </w:rPr>
        <w:t>custo</w:t>
      </w:r>
      <w:r>
        <w:rPr>
          <w:rFonts w:ascii="Arial" w:hAnsi="Arial"/>
        </w:rPr>
        <w:t>, checando com as vendas disponíveis;</w:t>
      </w:r>
    </w:p>
    <w:p>
      <w:pPr>
        <w:pStyle w:val="ListBullet"/>
      </w:pPr>
      <w:r>
        <w:rPr>
          <w:rFonts w:ascii="Arial" w:hAnsi="Arial"/>
        </w:rPr>
        <w:t xml:space="preserve">para </w:t>
      </w:r>
      <w:r>
        <w:rPr>
          <w:rFonts w:ascii="Arial" w:hAnsi="Arial"/>
          <w:b/>
        </w:rPr>
        <w:t>terreno</w:t>
      </w:r>
      <w:r>
        <w:rPr>
          <w:rFonts w:ascii="Arial" w:hAnsi="Arial"/>
        </w:rPr>
        <w:t>, na ausência de vendas adequadas, admitem-se técnicas alternativas (alocação, abstração, uso antecipado, capitalização de renda do solo, residual, etc.).</w:t>
      </w:r>
    </w:p>
    <w:p>
      <w:r>
        <w:rPr>
          <w:rFonts w:ascii="Arial" w:hAnsi="Arial"/>
        </w:rPr>
      </w:r>
      <w:r>
        <w:rPr>
          <w:rFonts w:ascii="Arial" w:hAnsi="Arial"/>
          <w:b/>
        </w:rPr>
        <w:t>Leitura aplicada:</w:t>
      </w:r>
      <w:r>
        <w:rPr>
          <w:rFonts w:ascii="Arial" w:hAnsi="Arial"/>
        </w:rPr>
        <w:t xml:space="preserve"> administrações maduras </w:t>
      </w:r>
      <w:r>
        <w:rPr>
          <w:rFonts w:ascii="Arial" w:hAnsi="Arial"/>
          <w:b/>
        </w:rPr>
        <w:t>não inventam modelo de vendas</w:t>
      </w:r>
      <w:r>
        <w:rPr>
          <w:rFonts w:ascii="Arial" w:hAnsi="Arial"/>
        </w:rPr>
        <w:t xml:space="preserve"> onde não há massa. Usam outro método (custo / cadastro / individual) — o mesmo espírito desta proposta, adaptado ao ITIV via PGV/venal + auditor.</w:t>
      </w:r>
    </w:p>
    <w:p>
      <w:pPr>
        <w:pStyle w:val="Heading3"/>
      </w:pPr>
      <w:r>
        <w:rPr>
          <w:rFonts w:ascii="Arial" w:hAnsi="Arial"/>
          <w:color w:val="1A3A5C"/>
        </w:rPr>
        <w:t>4.7 O que a referência assistida **não** pretende ser</w:t>
      </w:r>
    </w:p>
    <w:p>
      <w:r>
        <w:rPr>
          <w:rFonts w:ascii="Arial" w:hAnsi="Arial"/>
        </w:rPr>
        <w:t xml:space="preserve">A NBR 14653-2 e a IBAPE regulam a </w:t>
      </w:r>
      <w:r>
        <w:rPr>
          <w:rFonts w:ascii="Arial" w:hAnsi="Arial"/>
          <w:b/>
        </w:rPr>
        <w:t>fundamentação e precisão</w:t>
      </w:r>
      <w:r>
        <w:rPr>
          <w:rFonts w:ascii="Arial" w:hAnsi="Arial"/>
        </w:rPr>
        <w:t xml:space="preserve"> de avaliações de mercado (graus). A PGV </w:t>
      </w:r>
      <w:r>
        <w:rPr>
          <w:rFonts w:ascii="Arial" w:hAnsi="Arial"/>
          <w:b/>
        </w:rPr>
        <w:t>não</w:t>
      </w:r>
      <w:r>
        <w:rPr>
          <w:rFonts w:ascii="Arial" w:hAnsi="Arial"/>
        </w:rPr>
        <w:t xml:space="preserve"> recebe, nesta proposta, o enquadramento de Grau II/III de mercado obtido pelo hedônico/LightGBM nas Etapas 4–5.</w:t>
      </w:r>
    </w:p>
    <w:p>
      <w:r>
        <w:rPr>
          <w:rFonts w:ascii="Arial" w:hAnsi="Arial"/>
        </w:rPr>
        <w:t>Portanto:</w:t>
      </w:r>
    </w:p>
    <w:p>
      <w:pPr>
        <w:pStyle w:val="ListBullet"/>
      </w:pPr>
      <w:r>
        <w:rPr>
          <w:rFonts w:ascii="Arial" w:hAnsi="Arial"/>
        </w:rPr>
      </w:r>
      <w:r>
        <w:rPr>
          <w:rFonts w:ascii="Arial" w:hAnsi="Arial"/>
          <w:b/>
        </w:rPr>
        <w:t>não</w:t>
      </w:r>
      <w:r>
        <w:rPr>
          <w:rFonts w:ascii="Arial" w:hAnsi="Arial"/>
        </w:rPr>
        <w:t xml:space="preserve"> se afirma que o venal “substitui” o modelo de mercado;</w:t>
      </w:r>
    </w:p>
    <w:p>
      <w:pPr>
        <w:pStyle w:val="ListBullet"/>
      </w:pPr>
      <w:r>
        <w:rPr>
          <w:rFonts w:ascii="Arial" w:hAnsi="Arial"/>
        </w:rPr>
      </w:r>
      <w:r>
        <w:rPr>
          <w:rFonts w:ascii="Arial" w:hAnsi="Arial"/>
          <w:b/>
        </w:rPr>
        <w:t>não</w:t>
      </w:r>
      <w:r>
        <w:rPr>
          <w:rFonts w:ascii="Arial" w:hAnsi="Arial"/>
        </w:rPr>
        <w:t xml:space="preserve"> se usa a PGV como base automática unilateral de ITIV à revelia do processo adequado;</w:t>
      </w:r>
    </w:p>
    <w:p>
      <w:pPr>
        <w:pStyle w:val="ListBullet"/>
      </w:pPr>
      <w:r>
        <w:rPr>
          <w:rFonts w:ascii="Arial" w:hAnsi="Arial"/>
        </w:rPr>
      </w:r>
      <w:r>
        <w:rPr>
          <w:rFonts w:ascii="Arial" w:hAnsi="Arial"/>
          <w:b/>
        </w:rPr>
        <w:t>sim</w:t>
      </w:r>
      <w:r>
        <w:rPr>
          <w:rFonts w:ascii="Arial" w:hAnsi="Arial"/>
        </w:rPr>
        <w:t xml:space="preserve"> se usa a PGV como </w:t>
      </w:r>
      <w:r>
        <w:rPr>
          <w:rFonts w:ascii="Arial" w:hAnsi="Arial"/>
          <w:b/>
        </w:rPr>
        <w:t>referência cadastral de apoio</w:t>
      </w:r>
      <w:r>
        <w:rPr>
          <w:rFonts w:ascii="Arial" w:hAnsi="Arial"/>
        </w:rPr>
        <w:t xml:space="preserve"> à análise assistida, com transparência.</w:t>
      </w:r>
    </w:p>
    <w:p>
      <w:pPr>
        <w:pStyle w:val="Heading3"/>
      </w:pPr>
      <w:r>
        <w:rPr>
          <w:rFonts w:ascii="Arial" w:hAnsi="Arial"/>
          <w:color w:val="1A3A5C"/>
        </w:rPr>
        <w:t>4.8 Ressalva jurídico-tributária (ITBI / ITIV × valor venal do IPTU)</w:t>
      </w:r>
    </w:p>
    <w:p>
      <w:r>
        <w:rPr>
          <w:rFonts w:ascii="Arial" w:hAnsi="Arial"/>
        </w:rPr>
        <w:t xml:space="preserve">O STJ, no </w:t>
      </w:r>
      <w:r>
        <w:rPr>
          <w:rFonts w:ascii="Arial" w:hAnsi="Arial"/>
          <w:b/>
        </w:rPr>
        <w:t>Tema 1113</w:t>
      </w:r>
      <w:r>
        <w:rPr>
          <w:rFonts w:ascii="Arial" w:hAnsi="Arial"/>
        </w:rPr>
        <w:t xml:space="preserve">, fixou que a base de cálculo do ITBI é o valor do imóvel em </w:t>
      </w:r>
      <w:r>
        <w:rPr>
          <w:rFonts w:ascii="Arial" w:hAnsi="Arial"/>
          <w:b/>
        </w:rPr>
        <w:t>condições normais de mercado</w:t>
      </w:r>
      <w:r>
        <w:rPr>
          <w:rFonts w:ascii="Arial" w:hAnsi="Arial"/>
        </w:rPr>
        <w:t xml:space="preserve">; o valor declarado presume-se condizente com o mercado e só pode ser afastado mediante </w:t>
      </w:r>
      <w:r>
        <w:rPr>
          <w:rFonts w:ascii="Arial" w:hAnsi="Arial"/>
          <w:b/>
        </w:rPr>
        <w:t>processo administrativo</w:t>
      </w:r>
      <w:r>
        <w:rPr>
          <w:rFonts w:ascii="Arial" w:hAnsi="Arial"/>
        </w:rPr>
        <w:t xml:space="preserve"> adequado — não por valor de referência unilateral desvinculado desse procedimento.</w:t>
      </w:r>
    </w:p>
    <w:p>
      <w:r>
        <w:rPr>
          <w:rFonts w:ascii="Arial" w:hAnsi="Arial"/>
        </w:rPr>
      </w:r>
      <w:r>
        <w:rPr>
          <w:rFonts w:ascii="Arial" w:hAnsi="Arial"/>
          <w:b/>
        </w:rPr>
        <w:t>Implicação para esta proposta:</w:t>
      </w:r>
      <w:r>
        <w:rPr>
          <w:rFonts w:ascii="Arial" w:hAnsi="Arial"/>
        </w:rPr>
        <w:t xml:space="preserve"> a referência assistida pela PGV é ferramenta de </w:t>
      </w:r>
      <w:r>
        <w:rPr>
          <w:rFonts w:ascii="Arial" w:hAnsi="Arial"/>
          <w:b/>
        </w:rPr>
        <w:t>inteligência e apoio à análise</w:t>
      </w:r>
      <w:r>
        <w:rPr>
          <w:rFonts w:ascii="Arial" w:hAnsi="Arial"/>
        </w:rPr>
        <w:t xml:space="preserve"> no fluxo do ITIV, com decisão documentada do avaliador. </w:t>
      </w:r>
      <w:r>
        <w:rPr>
          <w:rFonts w:ascii="Arial" w:hAnsi="Arial"/>
          <w:b/>
        </w:rPr>
        <w:t>Não</w:t>
      </w:r>
      <w:r>
        <w:rPr>
          <w:rFonts w:ascii="Arial" w:hAnsi="Arial"/>
        </w:rPr>
        <w:t xml:space="preserve"> se confunde com lançamento automático do imposto “pelo venal do IPTU” sem o devido processo. Essa distinção fortalece — e não enfraquece — a defesa normativa.</w:t>
      </w:r>
    </w:p>
    <w:p>
      <w:pPr>
        <w:pStyle w:val="Heading3"/>
      </w:pPr>
      <w:r>
        <w:rPr>
          <w:rFonts w:ascii="Arial" w:hAnsi="Arial"/>
          <w:color w:val="1A3A5C"/>
        </w:rPr>
        <w:t>4.9 Texto padrão de enquadramento (para tela e dossiê)</w:t>
      </w:r>
    </w:p>
    <w:p>
      <w:pPr>
        <w:ind w:left="454"/>
      </w:pPr>
      <w:r>
        <w:rPr>
          <w:rFonts w:ascii="Arial" w:hAnsi="Arial"/>
          <w:i/>
          <w:color w:val="444444"/>
          <w:sz w:val="20"/>
        </w:rPr>
        <w:t>Para tipologias sem modelo de avaliação em massa de mercado validado para o segmento (IBAPE 7.3.2), e/ou quando o valor não possa ser estimado com grau aceitável de acurácia por modelo genérico (IBAPE 7.1.3(a)), o sistema disponibiliza o valor venal decorrente da Planta Genérica de Valores (PGV) como referência cadastral assistida. A análise da transmissão é assistida: a decisão sobre aceitação, diligência, arbitramento ou encaminhamento a avaliação individual cabe ao avaliador. Este regime não equivale à estimativa de mercado do modelo de apartamentos aprovado em 14/07/2026 (NBR 14653-2 / IBAPE 8.1.2 / estudo de razões IAAO).</w:t>
      </w:r>
    </w:p>
    <w:p/>
    <w:p>
      <w:pPr>
        <w:pStyle w:val="Heading2"/>
      </w:pPr>
      <w:r>
        <w:rPr>
          <w:rFonts w:ascii="Arial" w:hAnsi="Arial"/>
          <w:color w:val="1A3A5C"/>
        </w:rPr>
        <w:t>5. Existem modelos semelhantes em outras administrações?</w:t>
      </w:r>
    </w:p>
    <w:p>
      <w:r>
        <w:rPr>
          <w:rFonts w:ascii="Arial" w:hAnsi="Arial"/>
        </w:rPr>
      </w:r>
      <w:r>
        <w:rPr>
          <w:rFonts w:ascii="Arial" w:hAnsi="Arial"/>
          <w:b/>
        </w:rPr>
        <w:t>Sim.</w:t>
      </w:r>
      <w:r>
        <w:rPr>
          <w:rFonts w:ascii="Arial" w:hAnsi="Arial"/>
        </w:rPr>
        <w:t xml:space="preserve"> A lógica “método conforme a tipología e a disponibilidade de dados” é padrão em avaliação em massa — no Brasil e no exterior. O que varia é a ferramenta (PGV, custo, renda, ML, laudo), não o princípio.</w:t>
      </w:r>
    </w:p>
    <w:p>
      <w:pPr>
        <w:pStyle w:val="Heading3"/>
      </w:pPr>
      <w:r>
        <w:rPr>
          <w:rFonts w:ascii="Arial" w:hAnsi="Arial"/>
          <w:color w:val="1A3A5C"/>
        </w:rPr>
        <w:t>5.1 Brasil — PGV como regra geral do IPTU; mercado como evolução</w:t>
      </w:r>
    </w:p>
    <w:p>
      <w:r>
        <w:rPr>
          <w:rFonts w:ascii="Arial" w:hAnsi="Arial"/>
        </w:rPr>
        <w:t xml:space="preserve">Estudo comparado (IPEA / literatura de Curitiba, São Paulo, Belo Horizonte e Rio de Janeiro) mostra que a maior parte das legislações municipais de avaliação para fins de </w:t>
      </w:r>
      <w:r>
        <w:rPr>
          <w:rFonts w:ascii="Arial" w:hAnsi="Arial"/>
          <w:b/>
        </w:rPr>
        <w:t>IPTU</w:t>
      </w:r>
      <w:r>
        <w:rPr>
          <w:rFonts w:ascii="Arial" w:hAnsi="Arial"/>
        </w:rPr>
        <w:t xml:space="preserve"> adota o </w:t>
      </w:r>
      <w:r>
        <w:rPr>
          <w:rFonts w:ascii="Arial" w:hAnsi="Arial"/>
          <w:b/>
        </w:rPr>
        <w:t>método evolutivo</w:t>
      </w:r>
      <w:r>
        <w:rPr>
          <w:rFonts w:ascii="Arial" w:hAnsi="Arial"/>
        </w:rPr>
        <w:t xml:space="preserve"> (valor do terreno + custo de reedição da edificação com fatores), operacionalizado via </w:t>
      </w:r>
      <w:r>
        <w:rPr>
          <w:rFonts w:ascii="Arial" w:hAnsi="Arial"/>
          <w:b/>
        </w:rPr>
        <w:t>planta / valores unitários</w:t>
      </w:r>
      <w:r>
        <w:rPr>
          <w:rFonts w:ascii="Arial" w:hAnsi="Arial"/>
        </w:rPr>
        <w:t xml:space="preserve"> — ou seja, a família da </w:t>
      </w:r>
      <w:r>
        <w:rPr>
          <w:rFonts w:ascii="Arial" w:hAnsi="Arial"/>
          <w:b/>
        </w:rPr>
        <w:t>PGV</w:t>
      </w:r>
      <w:r>
        <w:rPr>
          <w:rFonts w:ascii="Arial" w:hAnsi="Arial"/>
        </w:rPr>
        <w:t xml:space="preserve"> — ainda que a NBR privilegie o comparativo de mercado.</w:t>
      </w:r>
    </w:p>
    <w:p>
      <w:r>
        <w:rPr>
          <w:rFonts w:ascii="Arial" w:hAnsi="Arial"/>
        </w:rPr>
        <w:t>Consequências práticas observadas na literatura:</w:t>
      </w:r>
    </w:p>
    <w:p>
      <w:pPr>
        <w:pStyle w:val="ListBullet"/>
      </w:pPr>
      <w:r>
        <w:rPr>
          <w:rFonts w:ascii="Arial" w:hAnsi="Arial"/>
        </w:rPr>
        <w:t xml:space="preserve">a PGV (ou equivalente) é o </w:t>
      </w:r>
      <w:r>
        <w:rPr>
          <w:rFonts w:ascii="Arial" w:hAnsi="Arial"/>
          <w:b/>
        </w:rPr>
        <w:t>instrumento universal</w:t>
      </w:r>
      <w:r>
        <w:rPr>
          <w:rFonts w:ascii="Arial" w:hAnsi="Arial"/>
        </w:rPr>
        <w:t xml:space="preserve"> de cobertura do cadastro;</w:t>
      </w:r>
    </w:p>
    <w:p>
      <w:pPr>
        <w:pStyle w:val="ListBullet"/>
      </w:pPr>
      <w:r>
        <w:rPr>
          <w:rFonts w:ascii="Arial" w:hAnsi="Arial"/>
        </w:rPr>
        <w:t xml:space="preserve">a atualização por </w:t>
      </w:r>
      <w:r>
        <w:rPr>
          <w:rFonts w:ascii="Arial" w:hAnsi="Arial"/>
          <w:b/>
        </w:rPr>
        <w:t>dados de mercado / inferência / ML</w:t>
      </w:r>
      <w:r>
        <w:rPr>
          <w:rFonts w:ascii="Arial" w:hAnsi="Arial"/>
        </w:rPr>
        <w:t xml:space="preserve"> aparece como </w:t>
      </w:r>
      <w:r>
        <w:rPr>
          <w:rFonts w:ascii="Arial" w:hAnsi="Arial"/>
          <w:b/>
        </w:rPr>
        <w:t>evolução</w:t>
      </w:r>
      <w:r>
        <w:rPr>
          <w:rFonts w:ascii="Arial" w:hAnsi="Arial"/>
        </w:rPr>
        <w:t xml:space="preserve"> ou recalibração da planta, não como abandono da cobertura cadastral;</w:t>
      </w:r>
    </w:p>
    <w:p>
      <w:pPr>
        <w:pStyle w:val="ListBullet"/>
      </w:pPr>
      <w:r>
        <w:rPr>
          <w:rFonts w:ascii="Arial" w:hAnsi="Arial"/>
        </w:rPr>
        <w:t xml:space="preserve">a </w:t>
      </w:r>
      <w:r>
        <w:rPr>
          <w:rFonts w:ascii="Arial" w:hAnsi="Arial"/>
          <w:b/>
        </w:rPr>
        <w:t>desatualização da PGV</w:t>
      </w:r>
      <w:r>
        <w:rPr>
          <w:rFonts w:ascii="Arial" w:hAnsi="Arial"/>
        </w:rPr>
        <w:t xml:space="preserve"> prejudica a arrecadação e a equidade também no ITBI (ex.: estudos de caso municipais, como Porto Velho), o que reforça usar o venal com </w:t>
      </w:r>
      <w:r>
        <w:rPr>
          <w:rFonts w:ascii="Arial" w:hAnsi="Arial"/>
          <w:b/>
        </w:rPr>
        <w:t>cautela</w:t>
      </w:r>
      <w:r>
        <w:rPr>
          <w:rFonts w:ascii="Arial" w:hAnsi="Arial"/>
        </w:rPr>
        <w:t xml:space="preserve"> e com auditor — nunca como “verdade de mercado” automática.</w:t>
      </w:r>
    </w:p>
    <w:p>
      <w:pPr>
        <w:pStyle w:val="Heading3"/>
      </w:pPr>
      <w:r>
        <w:rPr>
          <w:rFonts w:ascii="Arial" w:hAnsi="Arial"/>
          <w:color w:val="1A3A5C"/>
        </w:rPr>
        <w:t>5.2 Brasil — modelagem híbrida (estatística + ML) para equidade da PGV</w:t>
      </w:r>
    </w:p>
    <w:p>
      <w:r>
        <w:rPr>
          <w:rFonts w:ascii="Arial" w:hAnsi="Arial"/>
        </w:rPr>
        <w:t xml:space="preserve">Há experiências acadêmicas e técnicas de </w:t>
      </w:r>
      <w:r>
        <w:rPr>
          <w:rFonts w:ascii="Arial" w:hAnsi="Arial"/>
          <w:b/>
        </w:rPr>
        <w:t>PGV equitativa / modelagem híbrida</w:t>
      </w:r>
      <w:r>
        <w:rPr>
          <w:rFonts w:ascii="Arial" w:hAnsi="Arial"/>
        </w:rPr>
        <w:t xml:space="preserve"> (geoestatística, aprendizado de máquina e métodos clássicos) para </w:t>
      </w:r>
      <w:r>
        <w:rPr>
          <w:rFonts w:ascii="Arial" w:hAnsi="Arial"/>
          <w:b/>
        </w:rPr>
        <w:t>atualizar</w:t>
      </w:r>
      <w:r>
        <w:rPr>
          <w:rFonts w:ascii="Arial" w:hAnsi="Arial"/>
        </w:rPr>
        <w:t xml:space="preserve"> plantas de valores com mais equidade. Isso confirma duas coisas úteis ao ITIV:</w:t>
      </w:r>
    </w:p>
    <w:p>
      <w:pPr>
        <w:pStyle w:val="ListNumber"/>
      </w:pPr>
      <w:r>
        <w:rPr>
          <w:rFonts w:ascii="Arial" w:hAnsi="Arial"/>
        </w:rPr>
        <w:t xml:space="preserve">outras administrações e estudos </w:t>
      </w:r>
      <w:r>
        <w:rPr>
          <w:rFonts w:ascii="Arial" w:hAnsi="Arial"/>
          <w:b/>
        </w:rPr>
        <w:t>já misturam</w:t>
      </w:r>
      <w:r>
        <w:rPr>
          <w:rFonts w:ascii="Arial" w:hAnsi="Arial"/>
        </w:rPr>
        <w:t xml:space="preserve"> cadastro (PGV) e modelos avançados;</w:t>
      </w:r>
    </w:p>
    <w:p>
      <w:pPr>
        <w:pStyle w:val="ListNumber"/>
      </w:pPr>
      <w:r>
        <w:rPr>
          <w:rFonts w:ascii="Arial" w:hAnsi="Arial"/>
        </w:rPr>
        <w:t xml:space="preserve">o híbrido costuma ser </w:t>
      </w:r>
      <w:r>
        <w:rPr>
          <w:rFonts w:ascii="Arial" w:hAnsi="Arial"/>
          <w:b/>
        </w:rPr>
        <w:t>faseado</w:t>
      </w:r>
      <w:r>
        <w:rPr>
          <w:rFonts w:ascii="Arial" w:hAnsi="Arial"/>
        </w:rPr>
        <w:t>: primeiro cobertura e governança; depois refinamento por segmento com dados.</w:t>
      </w:r>
    </w:p>
    <w:p>
      <w:r>
        <w:rPr>
          <w:rFonts w:ascii="Arial" w:hAnsi="Arial"/>
        </w:rPr>
        <w:t>A proposta de Salvador (ML validado em apartamentos + PGV assistida no restante) é coerente com essa trajetória.</w:t>
      </w:r>
    </w:p>
    <w:p>
      <w:pPr>
        <w:pStyle w:val="Heading3"/>
      </w:pPr>
      <w:r>
        <w:rPr>
          <w:rFonts w:ascii="Arial" w:hAnsi="Arial"/>
          <w:color w:val="1A3A5C"/>
        </w:rPr>
        <w:t>5.3 IAAO / administrações anglo-saxãs — método por classe de imóvel</w:t>
      </w:r>
    </w:p>
    <w:p>
      <w:r>
        <w:rPr>
          <w:rFonts w:ascii="Arial" w:hAnsi="Arial"/>
        </w:rPr>
        <w:t>Pelo *Standard on Mass Appraisal* (IAAO):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88"/>
        <w:gridCol w:w="4788"/>
      </w:tblGrid>
      <w:tr>
        <w:tc>
          <w:tcPr>
            <w:tcW w:type="dxa" w:w="4788"/>
            <w:shd w:val="clear" w:color="auto" w:fill="1A3A5C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Situação</w:t>
            </w:r>
          </w:p>
        </w:tc>
        <w:tc>
          <w:tcPr>
            <w:tcW w:type="dxa" w:w="4788"/>
            <w:shd w:val="clear" w:color="auto" w:fill="1A3A5C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Prática recomendada</w:t>
            </w:r>
          </w:p>
        </w:tc>
      </w:tr>
      <w:tr>
        <w:tc>
          <w:tcPr>
            <w:tcW w:type="dxa" w:w="4788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Residencial com muitas vendas</w:t>
            </w:r>
          </w:p>
        </w:tc>
        <w:tc>
          <w:tcPr>
            <w:tcW w:type="dxa" w:w="4788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Comparativo de vendas / modelos de mercado</w:t>
            </w:r>
          </w:p>
        </w:tc>
      </w:tr>
      <w:tr>
        <w:tc>
          <w:tcPr>
            <w:tcW w:type="dxa" w:w="4788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Comercial com renda disponível</w:t>
            </w:r>
          </w:p>
        </w:tc>
        <w:tc>
          <w:tcPr>
            <w:tcW w:type="dxa" w:w="4788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Abordagem de renda</w:t>
            </w:r>
          </w:p>
        </w:tc>
      </w:tr>
      <w:tr>
        <w:tc>
          <w:tcPr>
            <w:tcW w:type="dxa" w:w="4788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Comercial sem vendas/renda suficientes</w:t>
            </w:r>
          </w:p>
        </w:tc>
        <w:tc>
          <w:tcPr>
            <w:tcW w:type="dxa" w:w="4788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b/>
                <w:sz w:val="19"/>
              </w:rPr>
              <w:t>Abordagem de custo</w:t>
            </w:r>
            <w:r>
              <w:rPr>
                <w:rFonts w:ascii="Arial" w:hAnsi="Arial"/>
                <w:sz w:val="19"/>
              </w:rPr>
              <w:t>, checada com vendas</w:t>
            </w:r>
          </w:p>
        </w:tc>
      </w:tr>
      <w:tr>
        <w:tc>
          <w:tcPr>
            <w:tcW w:type="dxa" w:w="4788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Terreno sem vendas adequadas</w:t>
            </w:r>
          </w:p>
        </w:tc>
        <w:tc>
          <w:tcPr>
            <w:tcW w:type="dxa" w:w="4788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Técnicas alternativas (não forçar comparativo vazio)</w:t>
            </w:r>
          </w:p>
        </w:tc>
      </w:tr>
      <w:tr>
        <w:tc>
          <w:tcPr>
            <w:tcW w:type="dxa" w:w="4788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Imóveis únicos / não típicos</w:t>
            </w:r>
          </w:p>
        </w:tc>
        <w:tc>
          <w:tcPr>
            <w:tcW w:type="dxa" w:w="4788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Avaliação individual / tratamento especial</w:t>
            </w:r>
          </w:p>
        </w:tc>
      </w:tr>
    </w:tbl>
    <w:p/>
    <w:p>
      <w:r>
        <w:rPr>
          <w:rFonts w:ascii="Arial" w:hAnsi="Arial"/>
        </w:rPr>
        <w:t xml:space="preserve">Isso é estruturalmente o mesmo desenho desta proposta: </w:t>
      </w:r>
      <w:r>
        <w:rPr>
          <w:rFonts w:ascii="Arial" w:hAnsi="Arial"/>
          <w:b/>
        </w:rPr>
        <w:t>não um único motor para tudo</w:t>
      </w:r>
      <w:r>
        <w:rPr>
          <w:rFonts w:ascii="Arial" w:hAnsi="Arial"/>
        </w:rPr>
        <w:t>.</w:t>
      </w:r>
    </w:p>
    <w:p>
      <w:pPr>
        <w:pStyle w:val="Heading3"/>
      </w:pPr>
      <w:r>
        <w:rPr>
          <w:rFonts w:ascii="Arial" w:hAnsi="Arial"/>
          <w:color w:val="1A3A5C"/>
        </w:rPr>
        <w:t>5.4 O que Salvador já tinha na versão anterior do avaliador</w:t>
      </w:r>
    </w:p>
    <w:p>
      <w:r>
        <w:rPr>
          <w:rFonts w:ascii="Arial" w:hAnsi="Arial"/>
        </w:rPr>
        <w:t>O pacote `entrega_equipe_20260615` já documentava escopo em camadas:</w:t>
      </w:r>
    </w:p>
    <w:p>
      <w:pPr>
        <w:pStyle w:val="ListBullet"/>
      </w:pPr>
      <w:r>
        <w:rPr>
          <w:rFonts w:ascii="Arial" w:hAnsi="Arial"/>
        </w:rPr>
      </w:r>
      <w:r>
        <w:rPr>
          <w:rFonts w:ascii="Arial" w:hAnsi="Arial"/>
          <w:b/>
        </w:rPr>
        <w:t>Apartamento</w:t>
      </w:r>
      <w:r>
        <w:rPr>
          <w:rFonts w:ascii="Arial" w:hAnsi="Arial"/>
        </w:rPr>
        <w:t xml:space="preserve"> — avaliação automática;</w:t>
      </w:r>
    </w:p>
    <w:p>
      <w:pPr>
        <w:pStyle w:val="ListBullet"/>
      </w:pPr>
      <w:r>
        <w:rPr>
          <w:rFonts w:ascii="Arial" w:hAnsi="Arial"/>
        </w:rPr>
      </w:r>
      <w:r>
        <w:rPr>
          <w:rFonts w:ascii="Arial" w:hAnsi="Arial"/>
          <w:b/>
        </w:rPr>
        <w:t>Casa / Comercial</w:t>
      </w:r>
      <w:r>
        <w:rPr>
          <w:rFonts w:ascii="Arial" w:hAnsi="Arial"/>
        </w:rPr>
        <w:t xml:space="preserve"> — assistido (modelo sugere com intervalo; auditor decide);</w:t>
      </w:r>
    </w:p>
    <w:p>
      <w:pPr>
        <w:pStyle w:val="ListBullet"/>
      </w:pPr>
      <w:r>
        <w:rPr>
          <w:rFonts w:ascii="Arial" w:hAnsi="Arial"/>
        </w:rPr>
      </w:r>
      <w:r>
        <w:rPr>
          <w:rFonts w:ascii="Arial" w:hAnsi="Arial"/>
          <w:b/>
        </w:rPr>
        <w:t>Terreno / Garagem / Outros</w:t>
      </w:r>
      <w:r>
        <w:rPr>
          <w:rFonts w:ascii="Arial" w:hAnsi="Arial"/>
        </w:rPr>
        <w:t xml:space="preserve"> — fora do automático → laudo/análise.</w:t>
      </w:r>
    </w:p>
    <w:p>
      <w:r>
        <w:rPr>
          <w:rFonts w:ascii="Arial" w:hAnsi="Arial"/>
        </w:rPr>
        <w:t xml:space="preserve">A proposta atual </w:t>
      </w:r>
      <w:r>
        <w:rPr>
          <w:rFonts w:ascii="Arial" w:hAnsi="Arial"/>
          <w:b/>
        </w:rPr>
        <w:t>recupera e formaliza</w:t>
      </w:r>
      <w:r>
        <w:rPr>
          <w:rFonts w:ascii="Arial" w:hAnsi="Arial"/>
        </w:rPr>
        <w:t xml:space="preserve"> essa lógica, alinhando-a ao modelo novo (só apartamentos com validação normativa completa) e à exigência de especificação escrita para 100% das tipologias.</w:t>
      </w:r>
    </w:p>
    <w:p>
      <w:pPr>
        <w:pStyle w:val="Heading3"/>
      </w:pPr>
      <w:r>
        <w:rPr>
          <w:rFonts w:ascii="Arial" w:hAnsi="Arial"/>
          <w:color w:val="1A3A5C"/>
        </w:rPr>
        <w:t>5.5 Síntese comparativa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88"/>
        <w:gridCol w:w="4788"/>
      </w:tblGrid>
      <w:tr>
        <w:tc>
          <w:tcPr>
            <w:tcW w:type="dxa" w:w="4788"/>
            <w:shd w:val="clear" w:color="auto" w:fill="1A3A5C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Administração / padrão</w:t>
            </w:r>
          </w:p>
        </w:tc>
        <w:tc>
          <w:tcPr>
            <w:tcW w:type="dxa" w:w="4788"/>
            <w:shd w:val="clear" w:color="auto" w:fill="1A3A5C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O que faz quando falta modelo de vendas do segmento</w:t>
            </w:r>
          </w:p>
        </w:tc>
      </w:tr>
      <w:tr>
        <w:tc>
          <w:tcPr>
            <w:tcW w:type="dxa" w:w="4788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Municípios BR (IPTU clássico)</w:t>
            </w:r>
          </w:p>
        </w:tc>
        <w:tc>
          <w:tcPr>
            <w:tcW w:type="dxa" w:w="4788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PGV / método evolutivo para o universo cadastral</w:t>
            </w:r>
          </w:p>
        </w:tc>
      </w:tr>
      <w:tr>
        <w:tc>
          <w:tcPr>
            <w:tcW w:type="dxa" w:w="4788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Estudos de PGV híbrida</w:t>
            </w:r>
          </w:p>
        </w:tc>
        <w:tc>
          <w:tcPr>
            <w:tcW w:type="dxa" w:w="4788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Recalibrar planta com mercado + ML, por etapas</w:t>
            </w:r>
          </w:p>
        </w:tc>
      </w:tr>
      <w:tr>
        <w:tc>
          <w:tcPr>
            <w:tcW w:type="dxa" w:w="4788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IAAO</w:t>
            </w:r>
          </w:p>
        </w:tc>
        <w:tc>
          <w:tcPr>
            <w:tcW w:type="dxa" w:w="4788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Trocar de abordagem (custo, renda, técnicas de terreno) ou individual</w:t>
            </w:r>
          </w:p>
        </w:tc>
      </w:tr>
      <w:tr>
        <w:tc>
          <w:tcPr>
            <w:tcW w:type="dxa" w:w="4788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Salvador — esta proposta</w:t>
            </w:r>
          </w:p>
        </w:tc>
        <w:tc>
          <w:tcPr>
            <w:tcW w:type="dxa" w:w="4788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`MERCADO_ML` onde validado; `PGV_ASSISTIDO` / individual no restante</w:t>
            </w:r>
          </w:p>
        </w:tc>
      </w:tr>
    </w:tbl>
    <w:p/>
    <w:p/>
    <w:p>
      <w:pPr>
        <w:pStyle w:val="Heading2"/>
      </w:pPr>
      <w:r>
        <w:rPr>
          <w:rFonts w:ascii="Arial" w:hAnsi="Arial"/>
          <w:color w:val="1A3A5C"/>
        </w:rPr>
        <w:t>6. Critérios para sair da referência assistida (Fase 2)</w:t>
      </w:r>
    </w:p>
    <w:p>
      <w:r>
        <w:rPr>
          <w:rFonts w:ascii="Arial" w:hAnsi="Arial"/>
        </w:rPr>
        <w:t>Uma tipologia só deixa o regime `PGV_ASSISTIDO` / individual e ganha `MERCADO_ML` próprio se:</w:t>
      </w:r>
    </w:p>
    <w:p>
      <w:pPr>
        <w:pStyle w:val="ListNumber"/>
      </w:pPr>
      <w:r>
        <w:rPr>
          <w:rFonts w:ascii="Arial" w:hAnsi="Arial"/>
        </w:rPr>
        <w:t>amostra de treino/teste suficiente após saneamento (mesma disciplina do apto);</w:t>
      </w:r>
    </w:p>
    <w:p>
      <w:pPr>
        <w:pStyle w:val="ListNumber"/>
      </w:pPr>
      <w:r>
        <w:rPr>
          <w:rFonts w:ascii="Arial" w:hAnsi="Arial"/>
        </w:rPr>
        <w:t xml:space="preserve">estudo de razões com nível geral, COD, PRD e PRB nas metas IAAO </w:t>
      </w:r>
      <w:r>
        <w:rPr>
          <w:rFonts w:ascii="Arial" w:hAnsi="Arial"/>
          <w:b/>
        </w:rPr>
        <w:t>do tipo</w:t>
      </w:r>
      <w:r>
        <w:rPr>
          <w:rFonts w:ascii="Arial" w:hAnsi="Arial"/>
        </w:rPr>
        <w:t>;</w:t>
      </w:r>
    </w:p>
    <w:p>
      <w:pPr>
        <w:pStyle w:val="ListNumber"/>
      </w:pPr>
      <w:r>
        <w:rPr>
          <w:rFonts w:ascii="Arial" w:hAnsi="Arial"/>
        </w:rPr>
        <w:t>fundamentação registrada (hedônico e/ou ML conforme IBAPE 8.1.2);</w:t>
      </w:r>
    </w:p>
    <w:p>
      <w:pPr>
        <w:pStyle w:val="ListNumber"/>
      </w:pPr>
      <w:r>
        <w:rPr>
          <w:rFonts w:ascii="Arial" w:hAnsi="Arial"/>
        </w:rPr>
        <w:t>aprovação formal no `REGISTRO_ETAPAS_APROVACAO`.</w:t>
      </w:r>
    </w:p>
    <w:p>
      <w:r>
        <w:rPr>
          <w:rFonts w:ascii="Arial" w:hAnsi="Arial"/>
        </w:rPr>
        <w:t>Até lá, a referência assistida permanece o regime oficial da tipologia.</w:t>
      </w:r>
    </w:p>
    <w:p/>
    <w:p>
      <w:pPr>
        <w:pStyle w:val="Heading2"/>
      </w:pPr>
      <w:r>
        <w:rPr>
          <w:rFonts w:ascii="Arial" w:hAnsi="Arial"/>
          <w:color w:val="1A3A5C"/>
        </w:rPr>
        <w:t>7. Benefícios e riscos</w:t>
      </w:r>
    </w:p>
    <w:p>
      <w:pPr>
        <w:pStyle w:val="Heading3"/>
      </w:pPr>
      <w:r>
        <w:rPr>
          <w:rFonts w:ascii="Arial" w:hAnsi="Arial"/>
          <w:color w:val="1A3A5C"/>
        </w:rPr>
        <w:t>Benefícios</w:t>
      </w:r>
    </w:p>
    <w:p>
      <w:pPr>
        <w:pStyle w:val="ListBullet"/>
      </w:pPr>
      <w:r>
        <w:rPr>
          <w:rFonts w:ascii="Arial" w:hAnsi="Arial"/>
        </w:rPr>
        <w:t xml:space="preserve">Responde à direção: </w:t>
      </w:r>
      <w:r>
        <w:rPr>
          <w:rFonts w:ascii="Arial" w:hAnsi="Arial"/>
          <w:b/>
        </w:rPr>
        <w:t>há especificação para todos os tipos</w:t>
      </w:r>
      <w:r>
        <w:rPr>
          <w:rFonts w:ascii="Arial" w:hAnsi="Arial"/>
        </w:rPr>
        <w:t>.</w:t>
      </w:r>
    </w:p>
    <w:p>
      <w:pPr>
        <w:pStyle w:val="ListBullet"/>
      </w:pPr>
      <w:r>
        <w:rPr>
          <w:rFonts w:ascii="Arial" w:hAnsi="Arial"/>
        </w:rPr>
        <w:t xml:space="preserve">Mantém a linha segura do relatório: </w:t>
      </w:r>
      <w:r>
        <w:rPr>
          <w:rFonts w:ascii="Arial" w:hAnsi="Arial"/>
          <w:b/>
        </w:rPr>
        <w:t>não inventa grau normativo</w:t>
      </w:r>
      <w:r>
        <w:rPr>
          <w:rFonts w:ascii="Arial" w:hAnsi="Arial"/>
        </w:rPr>
        <w:t xml:space="preserve"> onde não há amostra.</w:t>
      </w:r>
    </w:p>
    <w:p>
      <w:pPr>
        <w:pStyle w:val="ListBullet"/>
      </w:pPr>
      <w:r>
        <w:rPr>
          <w:rFonts w:ascii="Arial" w:hAnsi="Arial"/>
        </w:rPr>
        <w:t>Alinha-se a IBAPE 7.1.3(a), 7.3.2, 7.6.2 e à prática IAAO de métodos por classe.</w:t>
      </w:r>
    </w:p>
    <w:p>
      <w:pPr>
        <w:pStyle w:val="ListBullet"/>
      </w:pPr>
      <w:r>
        <w:rPr>
          <w:rFonts w:ascii="Arial" w:hAnsi="Arial"/>
        </w:rPr>
        <w:t>Reaproveita dado já disponível (`VLVENALCADASTRO` ~100%).</w:t>
      </w:r>
    </w:p>
    <w:p>
      <w:pPr>
        <w:pStyle w:val="ListBullet"/>
      </w:pPr>
      <w:r>
        <w:rPr>
          <w:rFonts w:ascii="Arial" w:hAnsi="Arial"/>
        </w:rPr>
        <w:t>Separa claramente mercado validado × referência cadastral (transparência em impugnação).</w:t>
      </w:r>
    </w:p>
    <w:p>
      <w:pPr>
        <w:pStyle w:val="Heading3"/>
      </w:pPr>
      <w:r>
        <w:rPr>
          <w:rFonts w:ascii="Arial" w:hAnsi="Arial"/>
          <w:color w:val="1A3A5C"/>
        </w:rPr>
        <w:t>Riscos e mitigações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88"/>
        <w:gridCol w:w="4788"/>
      </w:tblGrid>
      <w:tr>
        <w:tc>
          <w:tcPr>
            <w:tcW w:type="dxa" w:w="4788"/>
            <w:shd w:val="clear" w:color="auto" w:fill="1A3A5C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Risco</w:t>
            </w:r>
          </w:p>
        </w:tc>
        <w:tc>
          <w:tcPr>
            <w:tcW w:type="dxa" w:w="4788"/>
            <w:shd w:val="clear" w:color="auto" w:fill="1A3A5C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Mitigação</w:t>
            </w:r>
          </w:p>
        </w:tc>
      </w:tr>
      <w:tr>
        <w:tc>
          <w:tcPr>
            <w:tcW w:type="dxa" w:w="4788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Confundir PGV com valor de mercado</w:t>
            </w:r>
          </w:p>
        </w:tc>
        <w:tc>
          <w:tcPr>
            <w:tcW w:type="dxa" w:w="4788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Texto fixo na tela + código de regime no log</w:t>
            </w:r>
          </w:p>
        </w:tc>
      </w:tr>
      <w:tr>
        <w:tc>
          <w:tcPr>
            <w:tcW w:type="dxa" w:w="4788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Usar venal como base automática de ITIV</w:t>
            </w:r>
          </w:p>
        </w:tc>
        <w:tc>
          <w:tcPr>
            <w:tcW w:type="dxa" w:w="4788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Regime assistido; decisão humana; atenção ao Tema 1113/STJ</w:t>
            </w:r>
          </w:p>
        </w:tc>
      </w:tr>
      <w:tr>
        <w:tc>
          <w:tcPr>
            <w:tcW w:type="dxa" w:w="4788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Defasagem do venal</w:t>
            </w:r>
          </w:p>
        </w:tc>
        <w:tc>
          <w:tcPr>
            <w:tcW w:type="dxa" w:w="4788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Mostrar gap declarado×venal; não autuar só por esse gap no regime assistido</w:t>
            </w:r>
          </w:p>
        </w:tc>
      </w:tr>
      <w:tr>
        <w:tc>
          <w:tcPr>
            <w:tcW w:type="dxa" w:w="4788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Duas regras (legado × modelo novo)</w:t>
            </w:r>
          </w:p>
        </w:tc>
        <w:tc>
          <w:tcPr>
            <w:tcW w:type="dxa" w:w="4788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Unificar matriz neste documento e no avaliador</w:t>
            </w:r>
          </w:p>
        </w:tc>
      </w:tr>
    </w:tbl>
    <w:p/>
    <w:p/>
    <w:p>
      <w:pPr>
        <w:pStyle w:val="Heading2"/>
      </w:pPr>
      <w:r>
        <w:rPr>
          <w:rFonts w:ascii="Arial" w:hAnsi="Arial"/>
          <w:color w:val="1A3A5C"/>
        </w:rPr>
        <w:t>8. Encaminhamentos</w:t>
      </w:r>
    </w:p>
    <w:p>
      <w:pPr>
        <w:pStyle w:val="ListNumber"/>
      </w:pPr>
      <w:r>
        <w:rPr>
          <w:rFonts w:ascii="Arial" w:hAnsi="Arial"/>
        </w:rPr>
      </w:r>
      <w:r>
        <w:rPr>
          <w:rFonts w:ascii="Arial" w:hAnsi="Arial"/>
          <w:b/>
        </w:rPr>
        <w:t>Validar</w:t>
      </w:r>
      <w:r>
        <w:rPr>
          <w:rFonts w:ascii="Arial" w:hAnsi="Arial"/>
        </w:rPr>
        <w:t xml:space="preserve"> esta proposta com Dilson (definição operacional de PGV; limiar de apto atípico; Casa/Loja assistido; Terreno individual).</w:t>
      </w:r>
    </w:p>
    <w:p>
      <w:pPr>
        <w:pStyle w:val="ListNumber"/>
      </w:pPr>
      <w:r>
        <w:rPr>
          <w:rFonts w:ascii="Arial" w:hAnsi="Arial"/>
        </w:rPr>
      </w:r>
      <w:r>
        <w:rPr>
          <w:rFonts w:ascii="Arial" w:hAnsi="Arial"/>
          <w:b/>
        </w:rPr>
        <w:t>Anexar</w:t>
      </w:r>
      <w:r>
        <w:rPr>
          <w:rFonts w:ascii="Arial" w:hAnsi="Arial"/>
        </w:rPr>
        <w:t xml:space="preserve"> ao dossiê Selan como especificação de cobertura 100% das tipologias.</w:t>
      </w:r>
    </w:p>
    <w:p>
      <w:pPr>
        <w:pStyle w:val="ListNumber"/>
      </w:pPr>
      <w:r>
        <w:rPr>
          <w:rFonts w:ascii="Arial" w:hAnsi="Arial"/>
        </w:rPr>
      </w:r>
      <w:r>
        <w:rPr>
          <w:rFonts w:ascii="Arial" w:hAnsi="Arial"/>
          <w:b/>
        </w:rPr>
        <w:t>Implementar</w:t>
      </w:r>
      <w:r>
        <w:rPr>
          <w:rFonts w:ascii="Arial" w:hAnsi="Arial"/>
        </w:rPr>
        <w:t xml:space="preserve"> o roteador de regimes no avaliador (substituir o “erro se não for apartamento”).</w:t>
      </w:r>
    </w:p>
    <w:p>
      <w:pPr>
        <w:pStyle w:val="ListNumber"/>
      </w:pPr>
      <w:r>
        <w:rPr>
          <w:rFonts w:ascii="Arial" w:hAnsi="Arial"/>
        </w:rPr>
      </w:r>
      <w:r>
        <w:rPr>
          <w:rFonts w:ascii="Arial" w:hAnsi="Arial"/>
          <w:b/>
        </w:rPr>
        <w:t>Agendar</w:t>
      </w:r>
      <w:r>
        <w:rPr>
          <w:rFonts w:ascii="Arial" w:hAnsi="Arial"/>
        </w:rPr>
        <w:t xml:space="preserve"> diagnóstico Fase 2 (COD venal×venda e viabilidade de modelo próprio por tipo).</w:t>
      </w:r>
    </w:p>
    <w:p>
      <w:pPr>
        <w:pStyle w:val="ListNumber"/>
      </w:pPr>
      <w:r>
        <w:rPr>
          <w:rFonts w:ascii="Arial" w:hAnsi="Arial"/>
        </w:rPr>
      </w:r>
      <w:r>
        <w:rPr>
          <w:rFonts w:ascii="Arial" w:hAnsi="Arial"/>
          <w:b/>
        </w:rPr>
        <w:t>Apresentar</w:t>
      </w:r>
      <w:r>
        <w:rPr>
          <w:rFonts w:ascii="Arial" w:hAnsi="Arial"/>
        </w:rPr>
        <w:t xml:space="preserve"> à direção com a mensagem: especificação completa agora; modelos próprios depois, se as metas fecharem.</w:t>
      </w:r>
    </w:p>
    <w:p/>
    <w:p>
      <w:pPr>
        <w:pStyle w:val="Heading2"/>
      </w:pPr>
      <w:r>
        <w:rPr>
          <w:rFonts w:ascii="Arial" w:hAnsi="Arial"/>
          <w:color w:val="1A3A5C"/>
        </w:rPr>
        <w:t>9. Decisões solicitadas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94"/>
        <w:gridCol w:w="2394"/>
        <w:gridCol w:w="2394"/>
        <w:gridCol w:w="2394"/>
      </w:tblGrid>
      <w:tr>
        <w:tc>
          <w:tcPr>
            <w:tcW w:type="dxa" w:w="2394"/>
            <w:shd w:val="clear" w:color="auto" w:fill="1A3A5C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#</w:t>
            </w:r>
          </w:p>
        </w:tc>
        <w:tc>
          <w:tcPr>
            <w:tcW w:type="dxa" w:w="2394"/>
            <w:shd w:val="clear" w:color="auto" w:fill="1A3A5C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Decisão</w:t>
            </w:r>
          </w:p>
        </w:tc>
        <w:tc>
          <w:tcPr>
            <w:tcW w:type="dxa" w:w="2394"/>
            <w:shd w:val="clear" w:color="auto" w:fill="1A3A5C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Opções</w:t>
            </w:r>
          </w:p>
        </w:tc>
        <w:tc>
          <w:tcPr>
            <w:tcW w:type="dxa" w:w="2394"/>
            <w:shd w:val="clear" w:color="auto" w:fill="1A3A5C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Registro</w:t>
            </w:r>
          </w:p>
        </w:tc>
      </w:tr>
      <w:tr>
        <w:tc>
          <w:tcPr>
            <w:tcW w:type="dxa" w:w="2394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1</w:t>
            </w:r>
          </w:p>
        </w:tc>
        <w:tc>
          <w:tcPr>
            <w:tcW w:type="dxa" w:w="2394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Adotar a referência assistida como especificação V1?</w:t>
            </w:r>
          </w:p>
        </w:tc>
        <w:tc>
          <w:tcPr>
            <w:tcW w:type="dxa" w:w="2394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( ) Sim ( ) Ajustar</w:t>
            </w:r>
          </w:p>
        </w:tc>
        <w:tc>
          <w:tcPr>
            <w:tcW w:type="dxa" w:w="2394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</w:r>
          </w:p>
        </w:tc>
      </w:tr>
      <w:tr>
        <w:tc>
          <w:tcPr>
            <w:tcW w:type="dxa" w:w="2394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2</w:t>
            </w:r>
          </w:p>
        </w:tc>
        <w:tc>
          <w:tcPr>
            <w:tcW w:type="dxa" w:w="2394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PGV = valor venal cadastral (`VLVENALCADASTRO`)?</w:t>
            </w:r>
          </w:p>
        </w:tc>
        <w:tc>
          <w:tcPr>
            <w:tcW w:type="dxa" w:w="2394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( ) Sim ( ) Outro: ___</w:t>
            </w:r>
          </w:p>
        </w:tc>
        <w:tc>
          <w:tcPr>
            <w:tcW w:type="dxa" w:w="2394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</w:r>
          </w:p>
        </w:tc>
      </w:tr>
      <w:tr>
        <w:tc>
          <w:tcPr>
            <w:tcW w:type="dxa" w:w="2394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3</w:t>
            </w:r>
          </w:p>
        </w:tc>
        <w:tc>
          <w:tcPr>
            <w:tcW w:type="dxa" w:w="2394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Casa / Loja / Sala → `PGV_ASSISTIDO`?</w:t>
            </w:r>
          </w:p>
        </w:tc>
        <w:tc>
          <w:tcPr>
            <w:tcW w:type="dxa" w:w="2394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( ) Sim ( ) Ajustar</w:t>
            </w:r>
          </w:p>
        </w:tc>
        <w:tc>
          <w:tcPr>
            <w:tcW w:type="dxa" w:w="2394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</w:r>
          </w:p>
        </w:tc>
      </w:tr>
      <w:tr>
        <w:tc>
          <w:tcPr>
            <w:tcW w:type="dxa" w:w="2394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4</w:t>
            </w:r>
          </w:p>
        </w:tc>
        <w:tc>
          <w:tcPr>
            <w:tcW w:type="dxa" w:w="2394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Terreno e tipologias raras → `AVALIACAO_INDIVIDUAL`?</w:t>
            </w:r>
          </w:p>
        </w:tc>
        <w:tc>
          <w:tcPr>
            <w:tcW w:type="dxa" w:w="2394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( ) Sim ( ) Ajustar</w:t>
            </w:r>
          </w:p>
        </w:tc>
        <w:tc>
          <w:tcPr>
            <w:tcW w:type="dxa" w:w="2394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</w:r>
          </w:p>
        </w:tc>
      </w:tr>
      <w:tr>
        <w:tc>
          <w:tcPr>
            <w:tcW w:type="dxa" w:w="2394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5</w:t>
            </w:r>
          </w:p>
        </w:tc>
        <w:tc>
          <w:tcPr>
            <w:tcW w:type="dxa" w:w="2394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Anexo no pacote Selan nesta entrega?</w:t>
            </w:r>
          </w:p>
        </w:tc>
        <w:tc>
          <w:tcPr>
            <w:tcW w:type="dxa" w:w="2394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( ) Sim ( ) Depois</w:t>
            </w:r>
          </w:p>
        </w:tc>
        <w:tc>
          <w:tcPr>
            <w:tcW w:type="dxa" w:w="2394"/>
            <w:shd w:val="clear" w:color="auto" w:fill="FFFFFF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</w:r>
          </w:p>
        </w:tc>
      </w:tr>
      <w:tr>
        <w:tc>
          <w:tcPr>
            <w:tcW w:type="dxa" w:w="2394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6</w:t>
            </w:r>
          </w:p>
        </w:tc>
        <w:tc>
          <w:tcPr>
            <w:tcW w:type="dxa" w:w="2394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Limiar de apartamento atípico/alto valor</w:t>
            </w:r>
          </w:p>
        </w:tc>
        <w:tc>
          <w:tcPr>
            <w:tcW w:type="dxa" w:w="2394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( ) Envelope p5–p95 ( ) Outro: ___</w:t>
            </w:r>
          </w:p>
        </w:tc>
        <w:tc>
          <w:tcPr>
            <w:tcW w:type="dxa" w:w="2394"/>
            <w:shd w:val="clear" w:color="auto" w:fill="F2F2F2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</w:r>
          </w:p>
        </w:tc>
      </w:tr>
    </w:tbl>
    <w:p/>
    <w:p>
      <w:r>
        <w:rPr>
          <w:rFonts w:ascii="Arial" w:hAnsi="Arial"/>
        </w:rPr>
      </w:r>
      <w:r>
        <w:rPr>
          <w:rFonts w:ascii="Arial" w:hAnsi="Arial"/>
          <w:b/>
        </w:rPr>
        <w:t>Aprovação da equipe:</w:t>
      </w:r>
      <w:r>
        <w:rPr>
          <w:rFonts w:ascii="Arial" w:hAnsi="Arial"/>
        </w:rPr>
        <w:t xml:space="preserve"> ( ) Aprovado  ( ) Ajustar — _____________</w:t>
      </w:r>
    </w:p>
    <w:p>
      <w:r>
        <w:rPr>
          <w:rFonts w:ascii="Arial" w:hAnsi="Arial"/>
        </w:rPr>
      </w:r>
      <w:r>
        <w:rPr>
          <w:rFonts w:ascii="Arial" w:hAnsi="Arial"/>
          <w:b/>
        </w:rPr>
        <w:t>Data:</w:t>
      </w:r>
      <w:r>
        <w:rPr>
          <w:rFonts w:ascii="Arial" w:hAnsi="Arial"/>
        </w:rPr>
        <w:t xml:space="preserve"> ____/____/______</w:t>
      </w:r>
    </w:p>
    <w:p>
      <w:r>
        <w:rPr>
          <w:rFonts w:ascii="Arial" w:hAnsi="Arial"/>
        </w:rPr>
      </w:r>
      <w:r>
        <w:rPr>
          <w:rFonts w:ascii="Arial" w:hAnsi="Arial"/>
          <w:b/>
        </w:rPr>
        <w:t>Responsáveis:</w:t>
      </w:r>
      <w:r>
        <w:rPr>
          <w:rFonts w:ascii="Arial" w:hAnsi="Arial"/>
        </w:rPr>
        <w:t xml:space="preserve"> _______________________________</w:t>
      </w:r>
    </w:p>
    <w:p/>
    <w:p>
      <w:pPr>
        <w:pStyle w:val="Heading2"/>
      </w:pPr>
      <w:r>
        <w:rPr>
          <w:rFonts w:ascii="Arial" w:hAnsi="Arial"/>
          <w:color w:val="1A3A5C"/>
        </w:rPr>
        <w:t>10. Referências</w:t>
      </w:r>
    </w:p>
    <w:p>
      <w:pPr>
        <w:pStyle w:val="Heading3"/>
      </w:pPr>
      <w:r>
        <w:rPr>
          <w:rFonts w:ascii="Arial" w:hAnsi="Arial"/>
          <w:color w:val="1A3A5C"/>
        </w:rPr>
        <w:t>Normas e padrões</w:t>
      </w:r>
    </w:p>
    <w:p>
      <w:pPr>
        <w:pStyle w:val="ListNumber"/>
      </w:pPr>
      <w:r>
        <w:rPr>
          <w:rFonts w:ascii="Arial" w:hAnsi="Arial"/>
        </w:rPr>
        <w:t>ABNT NBR 14653-1:2019 — Avaliação de bens — Procedimentos gerais.</w:t>
      </w:r>
    </w:p>
    <w:p>
      <w:pPr>
        <w:pStyle w:val="ListNumber"/>
      </w:pPr>
      <w:r>
        <w:rPr>
          <w:rFonts w:ascii="Arial" w:hAnsi="Arial"/>
        </w:rPr>
        <w:t>ABNT NBR 14653-2:2011 — Avaliação de bens — Imóveis urbanos.</w:t>
      </w:r>
    </w:p>
    <w:p>
      <w:pPr>
        <w:pStyle w:val="ListNumber"/>
      </w:pPr>
      <w:r>
        <w:rPr>
          <w:rFonts w:ascii="Arial" w:hAnsi="Arial"/>
        </w:rPr>
        <w:t>IBAPE/SOBREA (2023) — Norma de avaliação em massa para fins tributários e de políticas urbanas.</w:t>
      </w:r>
    </w:p>
    <w:p>
      <w:pPr>
        <w:pStyle w:val="ListNumber"/>
      </w:pPr>
      <w:r>
        <w:rPr>
          <w:rFonts w:ascii="Arial" w:hAnsi="Arial"/>
        </w:rPr>
        <w:t>IAAO (2017) — *Standard on Mass Appraisal of Real Property*.</w:t>
      </w:r>
    </w:p>
    <w:p>
      <w:pPr>
        <w:pStyle w:val="ListNumber"/>
      </w:pPr>
      <w:r>
        <w:rPr>
          <w:rFonts w:ascii="Arial" w:hAnsi="Arial"/>
        </w:rPr>
        <w:t>IAAO (2013) — *Standard on Ratio Studies*.</w:t>
      </w:r>
    </w:p>
    <w:p>
      <w:pPr>
        <w:pStyle w:val="Heading3"/>
      </w:pPr>
      <w:r>
        <w:rPr>
          <w:rFonts w:ascii="Arial" w:hAnsi="Arial"/>
          <w:color w:val="1A3A5C"/>
        </w:rPr>
        <w:t>Documentos internos do projeto</w:t>
      </w:r>
    </w:p>
    <w:p>
      <w:pPr>
        <w:pStyle w:val="ListNumber"/>
      </w:pPr>
      <w:r>
        <w:rPr>
          <w:rFonts w:ascii="Arial" w:hAnsi="Arial"/>
        </w:rPr>
        <w:t>`FUNDAMENTACAO_NORMATIVA.md`</w:t>
      </w:r>
    </w:p>
    <w:p>
      <w:pPr>
        <w:pStyle w:val="ListNumber"/>
      </w:pPr>
      <w:r>
        <w:rPr>
          <w:rFonts w:ascii="Arial" w:hAnsi="Arial"/>
        </w:rPr>
        <w:t>`REGISTRO_ETAPAS_APROVACAO.md` (decisão de escopo 22/06/2026; aprovações Etapas 4–5 em 14/07/2026)</w:t>
      </w:r>
    </w:p>
    <w:p>
      <w:pPr>
        <w:pStyle w:val="ListNumber"/>
      </w:pPr>
      <w:r>
        <w:rPr>
          <w:rFonts w:ascii="Arial" w:hAnsi="Arial"/>
        </w:rPr>
        <w:t>`ESPECIFICACAO_REGIMES_POR_TIPOLOGIA.md`</w:t>
      </w:r>
    </w:p>
    <w:p>
      <w:pPr>
        <w:pStyle w:val="ListNumber"/>
      </w:pPr>
      <w:r>
        <w:rPr>
          <w:rFonts w:ascii="Arial" w:hAnsi="Arial"/>
        </w:rPr>
        <w:t>`Modelo_Apartamentos_Aprovado/LEIA-ME.md`</w:t>
      </w:r>
    </w:p>
    <w:p>
      <w:pPr>
        <w:pStyle w:val="ListNumber"/>
      </w:pPr>
      <w:r>
        <w:rPr>
          <w:rFonts w:ascii="Arial" w:hAnsi="Arial"/>
        </w:rPr>
        <w:t>`entrega_equipe_20260615/LEIA-ME.txt` (escopo V1 em camadas)</w:t>
      </w:r>
    </w:p>
    <w:p>
      <w:pPr>
        <w:pStyle w:val="Heading3"/>
      </w:pPr>
      <w:r>
        <w:rPr>
          <w:rFonts w:ascii="Arial" w:hAnsi="Arial"/>
          <w:color w:val="1A3A5C"/>
        </w:rPr>
        <w:t>Jurisprudência e literatura (contexto)</w:t>
      </w:r>
    </w:p>
    <w:p>
      <w:pPr>
        <w:pStyle w:val="ListNumber"/>
      </w:pPr>
      <w:r>
        <w:rPr>
          <w:rFonts w:ascii="Arial" w:hAnsi="Arial"/>
        </w:rPr>
        <w:t>STJ — Tema 1113 (base de cálculo do ITBI = valor em condições normais de mercado; valor declarado e processo administrativo).</w:t>
      </w:r>
    </w:p>
    <w:p>
      <w:pPr>
        <w:pStyle w:val="ListNumber"/>
      </w:pPr>
      <w:r>
        <w:rPr>
          <w:rFonts w:ascii="Arial" w:hAnsi="Arial"/>
        </w:rPr>
        <w:t>Literatura comparada de avaliação tributária em Curitiba, São Paulo, Belo Horizonte e Rio de Janeiro (IPEA / LARES) — predominância do método evolutivo/PGV no IPTU.</w:t>
      </w:r>
    </w:p>
    <w:p>
      <w:pPr>
        <w:pStyle w:val="ListNumber"/>
      </w:pPr>
      <w:r>
        <w:rPr>
          <w:rFonts w:ascii="Arial" w:hAnsi="Arial"/>
        </w:rPr>
        <w:t>Estudos de atualização de PGV com métodos combinados / modelagem híbrida (geoestatística e aprendizado de máquina) na literatura técnica brasileira.</w:t>
      </w:r>
    </w:p>
    <w:p>
      <w:pPr>
        <w:pStyle w:val="ListNumber"/>
      </w:pPr>
      <w:r>
        <w:rPr>
          <w:rFonts w:ascii="Arial" w:hAnsi="Arial"/>
        </w:rPr>
        <w:t>IAAO — uso de abordagem de custo e técnicas alternativas de terreno na ausência de vendas suficientes.</w:t>
      </w:r>
    </w:p>
    <w:p/>
    <w:p>
      <w:r>
        <w:rPr>
          <w:rFonts w:ascii="Arial" w:hAnsi="Arial"/>
        </w:rPr>
        <w:t>*Documento elaborado para subsidiar alinhamento técnico e decisão da direção. Não substitui parecer jurídico formal nem a aprovação registrada no `REGISTRO_ETAPAS_APROVACAO`.*</w:t>
      </w:r>
    </w:p>
    <w:sectPr w:rsidR="00FC693F" w:rsidRPr="0006063C" w:rsidSect="00034616">
      <w:footerReference w:type="default" r:id="rId9"/>
      <w:pgSz w:w="12240" w:h="15840"/>
      <w:pgMar w:top="1247" w:right="124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color w:val="888888"/>
        <w:sz w:val="16"/>
      </w:rPr>
      <w:t>Coordenadoria de Inteligência Fiscal — SEFAZ Salvador | Julho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