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5AF4" w14:textId="77777777" w:rsidR="00570EE5" w:rsidRDefault="00000000">
      <w:pPr>
        <w:spacing w:after="60"/>
        <w:jc w:val="center"/>
        <w:rPr>
          <w:b/>
          <w:bCs/>
          <w:color w:val="5B665F"/>
          <w:sz w:val="20"/>
          <w:szCs w:val="20"/>
        </w:rPr>
      </w:pPr>
      <w:r>
        <w:rPr>
          <w:b/>
          <w:bCs/>
          <w:color w:val="5B665F"/>
          <w:sz w:val="20"/>
          <w:szCs w:val="20"/>
        </w:rPr>
        <w:t>SE</w:t>
      </w:r>
      <w:r w:rsidR="00570EE5">
        <w:rPr>
          <w:b/>
          <w:bCs/>
          <w:color w:val="5B665F"/>
          <w:sz w:val="20"/>
          <w:szCs w:val="20"/>
        </w:rPr>
        <w:t xml:space="preserve">CRETARIA DA FAZENDA DE </w:t>
      </w:r>
      <w:r>
        <w:rPr>
          <w:b/>
          <w:bCs/>
          <w:color w:val="5B665F"/>
          <w:sz w:val="20"/>
          <w:szCs w:val="20"/>
        </w:rPr>
        <w:t>SALVADOR</w:t>
      </w:r>
    </w:p>
    <w:p w14:paraId="2DDDCB56" w14:textId="198CD4B3" w:rsidR="00570EE5" w:rsidRDefault="00570EE5">
      <w:pPr>
        <w:spacing w:after="60"/>
        <w:jc w:val="center"/>
        <w:rPr>
          <w:b/>
          <w:bCs/>
          <w:color w:val="5B665F"/>
          <w:sz w:val="20"/>
          <w:szCs w:val="20"/>
        </w:rPr>
      </w:pPr>
      <w:r>
        <w:rPr>
          <w:b/>
          <w:bCs/>
          <w:color w:val="5B665F"/>
          <w:sz w:val="20"/>
          <w:szCs w:val="20"/>
        </w:rPr>
        <w:t>DIRETORIA DA RECEITA MUNICIPAL</w:t>
      </w:r>
    </w:p>
    <w:p w14:paraId="1816B539" w14:textId="0298756F" w:rsidR="00A3143A" w:rsidRDefault="00000000">
      <w:pPr>
        <w:spacing w:after="60"/>
        <w:jc w:val="center"/>
        <w:rPr>
          <w:b/>
          <w:bCs/>
          <w:color w:val="5B665F"/>
          <w:sz w:val="20"/>
          <w:szCs w:val="20"/>
        </w:rPr>
      </w:pPr>
      <w:r>
        <w:rPr>
          <w:b/>
          <w:bCs/>
          <w:color w:val="5B665F"/>
          <w:sz w:val="20"/>
          <w:szCs w:val="20"/>
        </w:rPr>
        <w:t>COORDENADORIA DE INTELIGÊNCIA FISCAL</w:t>
      </w:r>
    </w:p>
    <w:p w14:paraId="2B1E3308" w14:textId="77777777" w:rsidR="00252B37" w:rsidRDefault="00252B37">
      <w:pPr>
        <w:spacing w:after="60"/>
        <w:jc w:val="center"/>
      </w:pPr>
    </w:p>
    <w:p w14:paraId="3A330015" w14:textId="6AE3789F" w:rsidR="00A3143A" w:rsidRDefault="00000000">
      <w:pPr>
        <w:spacing w:after="80"/>
        <w:jc w:val="center"/>
      </w:pPr>
      <w:r>
        <w:rPr>
          <w:b/>
          <w:bCs/>
          <w:color w:val="0F6E56"/>
          <w:sz w:val="32"/>
          <w:szCs w:val="32"/>
        </w:rPr>
        <w:t>Relat</w:t>
      </w:r>
      <w:r w:rsidR="00252B37">
        <w:rPr>
          <w:b/>
          <w:bCs/>
          <w:color w:val="0F6E56"/>
          <w:sz w:val="32"/>
          <w:szCs w:val="32"/>
        </w:rPr>
        <w:t xml:space="preserve">ório do </w:t>
      </w:r>
      <w:r>
        <w:rPr>
          <w:b/>
          <w:bCs/>
          <w:color w:val="0F6E56"/>
          <w:sz w:val="32"/>
          <w:szCs w:val="32"/>
        </w:rPr>
        <w:t>Modelo de Avaliação de Apartamentos aplicado à arrecadação do ITIV (2021–2026)</w:t>
      </w:r>
    </w:p>
    <w:p w14:paraId="28A29277" w14:textId="77777777" w:rsidR="00A3143A" w:rsidRDefault="00000000">
      <w:pPr>
        <w:pStyle w:val="Ttulo1"/>
        <w:spacing w:before="360" w:after="160"/>
      </w:pPr>
      <w:r>
        <w:rPr>
          <w:b/>
          <w:bCs/>
          <w:color w:val="0F6E56"/>
          <w:sz w:val="28"/>
          <w:szCs w:val="28"/>
        </w:rPr>
        <w:t>Sumário executivo</w:t>
      </w:r>
    </w:p>
    <w:p w14:paraId="7FD9B1F3" w14:textId="2ADEE5E4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O modelo de avaliação de apartamentos foi aplicado a toda a arrecadação de compra e venda de apartamentos de 2021 a junho/2026 — 66.236 guias pagas, todos os valores corrigidos pelo IPCA.</w:t>
      </w:r>
    </w:p>
    <w:p w14:paraId="5D8CA57F" w14:textId="77777777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b/>
          <w:bCs/>
          <w:color w:val="1F2A24"/>
        </w:rPr>
        <w:t xml:space="preserve">Arrecadado: R$ 951,0 milhões. </w:t>
      </w:r>
      <w:r>
        <w:rPr>
          <w:color w:val="1F2A24"/>
        </w:rPr>
        <w:t xml:space="preserve">Devido segundo o valor de mercado estimado pelo modelo: </w:t>
      </w:r>
      <w:r>
        <w:rPr>
          <w:b/>
          <w:bCs/>
          <w:color w:val="1F2A24"/>
        </w:rPr>
        <w:t>R$ 834,3 milhões.</w:t>
      </w:r>
      <w:r>
        <w:rPr>
          <w:color w:val="1F2A24"/>
        </w:rPr>
        <w:t xml:space="preserve"> A perda efetiva — guias pagas abaixo do valor de mercado — foi de </w:t>
      </w:r>
      <w:r>
        <w:rPr>
          <w:b/>
          <w:bCs/>
          <w:color w:val="1F2A24"/>
        </w:rPr>
        <w:t>R$ 6,59 milhões</w:t>
      </w:r>
      <w:r>
        <w:rPr>
          <w:color w:val="1F2A24"/>
        </w:rPr>
        <w:t xml:space="preserve"> no período (cerca de R$ 1,2 milhão por ano, em 11.860 guias).</w:t>
      </w:r>
    </w:p>
    <w:p w14:paraId="77B5DA77" w14:textId="77777777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44% das vendas declararam valor abaixo do mercado (R$ 42,5 milhões de imposto em jogo), mas a regra do maior valor (declarado × venal) recuperou quase tudo na cobrança.</w:t>
      </w:r>
    </w:p>
    <w:p w14:paraId="168B0590" w14:textId="77777777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O valor venal fica, na mediana, 12,4% abaixo do valor de mercado estimado; supera o mercado em 23,4% dos imóveis — recorte em que se concentram as impugnações, que cresceram de 98 (2021) para 1.568 (2025).</w:t>
      </w:r>
    </w:p>
    <w:p w14:paraId="6E612260" w14:textId="7EE1131B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Nas 2.017 impugnações de apartamentos, o valor arbitrado está, na mediana, 28% abaixo da estimativa de mercado do modelo; só 2,9% a superam em mais de 15% — na grande maioria do contencioso, o modelo respalda o arbitramento.</w:t>
      </w:r>
    </w:p>
    <w:p w14:paraId="1F70BE81" w14:textId="77777777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Conclusão central: em apartamentos, o risco maior não é arrecadar de menos — é cobrar fora do valor de mercado, para mais e para menos. O papel do modelo é cobrar o valor certo, fundamentar as respostas às impugnações e capturar os casos que hoje escapam.</w:t>
      </w:r>
    </w:p>
    <w:p w14:paraId="434917A1" w14:textId="77777777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 xml:space="preserve">O avaliador web já está disponível para a equipe em: </w:t>
      </w:r>
      <w:hyperlink r:id="rId5" w:history="1">
        <w:r>
          <w:rPr>
            <w:rStyle w:val="Hyperlink"/>
          </w:rPr>
          <w:t>http://valedosrios:8084/</w:t>
        </w:r>
      </w:hyperlink>
    </w:p>
    <w:p w14:paraId="661C613D" w14:textId="77777777" w:rsidR="00A3143A" w:rsidRDefault="00000000">
      <w:pPr>
        <w:pStyle w:val="Ttulo1"/>
        <w:spacing w:before="360" w:after="160"/>
      </w:pPr>
      <w:r>
        <w:rPr>
          <w:b/>
          <w:bCs/>
          <w:color w:val="0F6E56"/>
          <w:sz w:val="28"/>
          <w:szCs w:val="28"/>
        </w:rPr>
        <w:t>1. Contexto e objetivo</w:t>
      </w:r>
    </w:p>
    <w:p w14:paraId="69CB549F" w14:textId="77777777" w:rsidR="00A3143A" w:rsidRDefault="00000000" w:rsidP="00252B37">
      <w:pPr>
        <w:spacing w:after="120"/>
        <w:jc w:val="both"/>
      </w:pPr>
      <w:r>
        <w:rPr>
          <w:color w:val="1F2A24"/>
        </w:rPr>
        <w:t>O modelo de avaliação de apartamentos foi validado em teste cego (9.276 vendas nunca vistas no treino) e atendeu a todas as metas internacionais da IAAO: razão mediana 0,999, COD 9,6%, PRD 1,017 e PRB −0,009, com enquadramento em Grau II de fundamentação e Grau III de precisão pela NBR 14653-2. Este relatório responde à pergunta seguinte: aplicando esse modelo à arrecadação real do período 2021–2026, quanto deveria ter sido arrecadado e quanto de fato foi arrecadado?</w:t>
      </w:r>
    </w:p>
    <w:p w14:paraId="387A5471" w14:textId="77777777" w:rsidR="00A3143A" w:rsidRDefault="00000000">
      <w:pPr>
        <w:pStyle w:val="Ttulo1"/>
        <w:spacing w:before="360" w:after="160"/>
      </w:pPr>
      <w:r>
        <w:rPr>
          <w:b/>
          <w:bCs/>
          <w:color w:val="0F6E56"/>
          <w:sz w:val="28"/>
          <w:szCs w:val="28"/>
        </w:rPr>
        <w:t>2. Base e método</w:t>
      </w:r>
    </w:p>
    <w:p w14:paraId="4806567B" w14:textId="77777777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Recorte: 66.236 transmissões de compra e venda de apartamento com ITIV pago, de 2021 a junho de 2026.</w:t>
      </w:r>
    </w:p>
    <w:p w14:paraId="363087F2" w14:textId="1BA700CD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Exclusões: 3.890 transações com desvio superior a 53,9% entre estimativa e valor declarado corrigido e 61 com alíquota efetiva implausível.</w:t>
      </w:r>
    </w:p>
    <w:p w14:paraId="7EDC31E4" w14:textId="77777777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ITIV devido = alíquota efetiva de cada guia × estimativa do modelo. A alíquota efetiva (mediana 3%) preserva descontos legais — por exemplo, 2,4% em guias com financiamento — de modo que desconto em lei não é contado como perda.</w:t>
      </w:r>
    </w:p>
    <w:p w14:paraId="6072F601" w14:textId="77777777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Comparação em moeda de hoje: o ITIV pago em cada guia foi corrigido pelo IPCA da data da transação, a mesma régua usada no treino do modelo.</w:t>
      </w:r>
    </w:p>
    <w:p w14:paraId="35548012" w14:textId="77777777" w:rsidR="00A3143A" w:rsidRDefault="00000000" w:rsidP="00252B37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Perda efetiva = soma, apenas nos casos em que o devido supera o pago, da diferença entre os dois.</w:t>
      </w:r>
    </w:p>
    <w:p w14:paraId="05C2081C" w14:textId="77777777" w:rsidR="00A3143A" w:rsidRDefault="00000000">
      <w:pPr>
        <w:pStyle w:val="Ttulo1"/>
        <w:spacing w:before="360" w:after="160"/>
      </w:pPr>
      <w:r>
        <w:rPr>
          <w:b/>
          <w:bCs/>
          <w:color w:val="0F6E56"/>
          <w:sz w:val="28"/>
          <w:szCs w:val="28"/>
        </w:rPr>
        <w:lastRenderedPageBreak/>
        <w:t>3. Resultado: devido × arrecadado, ano a ano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600"/>
        <w:gridCol w:w="1700"/>
        <w:gridCol w:w="1500"/>
        <w:gridCol w:w="1400"/>
      </w:tblGrid>
      <w:tr w:rsidR="00A3143A" w14:paraId="37AF9FBF" w14:textId="77777777" w:rsidTr="00252B3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DDE47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Ano</w:t>
            </w:r>
          </w:p>
        </w:tc>
        <w:tc>
          <w:tcPr>
            <w:tcW w:w="12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54E44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Guias</w:t>
            </w:r>
          </w:p>
        </w:tc>
        <w:tc>
          <w:tcPr>
            <w:tcW w:w="16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865F1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ITIV devido (modelo)</w:t>
            </w:r>
          </w:p>
        </w:tc>
        <w:tc>
          <w:tcPr>
            <w:tcW w:w="17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7CDB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ITIV arrecadado</w:t>
            </w:r>
          </w:p>
        </w:tc>
        <w:tc>
          <w:tcPr>
            <w:tcW w:w="15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1C124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Perda efetiva</w:t>
            </w:r>
          </w:p>
        </w:tc>
        <w:tc>
          <w:tcPr>
            <w:tcW w:w="14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B44EA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Guias c/ perda</w:t>
            </w:r>
          </w:p>
        </w:tc>
      </w:tr>
      <w:tr w:rsidR="00A3143A" w14:paraId="4F994749" w14:textId="77777777" w:rsidTr="00252B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03AF3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2021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270F1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13.642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3A045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R$ 171,5 mi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8654A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R$ 193,2 mi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282C6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R$ 1,62 mi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FDD4B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2.789</w:t>
            </w:r>
          </w:p>
        </w:tc>
      </w:tr>
      <w:tr w:rsidR="00A3143A" w14:paraId="39E743D0" w14:textId="77777777" w:rsidTr="00252B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08879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2022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05257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12.106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398EA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R$ 140,0 mi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E2385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R$ 160,2 mi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8F56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R$ 0,95 mi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8D744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1.948</w:t>
            </w:r>
          </w:p>
        </w:tc>
      </w:tr>
      <w:tr w:rsidR="00A3143A" w14:paraId="7259E31C" w14:textId="77777777" w:rsidTr="00252B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62EB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2023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CC1D7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12.263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5214F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R$ 152,3 mi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BA31F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R$ 172,6 mi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DCAC8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R$ 1,08 mi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9316D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2.500</w:t>
            </w:r>
          </w:p>
        </w:tc>
      </w:tr>
      <w:tr w:rsidR="00A3143A" w14:paraId="17734A29" w14:textId="77777777" w:rsidTr="00252B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A9211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2024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2A1C4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13.503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C554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R$ 164,2 mi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2FB5C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R$ 188,5 mi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1DC14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R$ 1,21 mi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4B512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2.079</w:t>
            </w:r>
          </w:p>
        </w:tc>
      </w:tr>
      <w:tr w:rsidR="00A3143A" w14:paraId="7C70C555" w14:textId="77777777" w:rsidTr="00252B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B979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2025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21BB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10.635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0DC7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R$ 145,8 mi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4551A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R$ 166,6 mi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76B3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R$ 1,24 mi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89F7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1.879</w:t>
            </w:r>
          </w:p>
        </w:tc>
      </w:tr>
      <w:tr w:rsidR="00A3143A" w14:paraId="198E8385" w14:textId="77777777" w:rsidTr="00252B3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F50B5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2026 (</w:t>
            </w:r>
            <w:proofErr w:type="spellStart"/>
            <w:r>
              <w:rPr>
                <w:color w:val="1F2A24"/>
                <w:sz w:val="20"/>
                <w:szCs w:val="20"/>
              </w:rPr>
              <w:t>jan</w:t>
            </w:r>
            <w:proofErr w:type="spellEnd"/>
            <w:r>
              <w:rPr>
                <w:color w:val="1F2A24"/>
                <w:sz w:val="20"/>
                <w:szCs w:val="20"/>
              </w:rPr>
              <w:t>–</w:t>
            </w:r>
            <w:proofErr w:type="spellStart"/>
            <w:r>
              <w:rPr>
                <w:color w:val="1F2A24"/>
                <w:sz w:val="20"/>
                <w:szCs w:val="20"/>
              </w:rPr>
              <w:t>jun</w:t>
            </w:r>
            <w:proofErr w:type="spellEnd"/>
            <w:r>
              <w:rPr>
                <w:color w:val="1F2A24"/>
                <w:sz w:val="20"/>
                <w:szCs w:val="20"/>
              </w:rPr>
              <w:t>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7E8ED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4.087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9648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R$ 60,5 mi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4F4E4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R$ 70,0 mi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932A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R$ 0,48 mi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7EE9" w14:textId="77777777" w:rsidR="00A3143A" w:rsidRDefault="00000000" w:rsidP="00252B37">
            <w:pPr>
              <w:jc w:val="center"/>
            </w:pPr>
            <w:r>
              <w:rPr>
                <w:color w:val="1F2A24"/>
                <w:sz w:val="20"/>
                <w:szCs w:val="20"/>
              </w:rPr>
              <w:t>665</w:t>
            </w:r>
          </w:p>
        </w:tc>
      </w:tr>
      <w:tr w:rsidR="00A3143A" w14:paraId="2138CF84" w14:textId="77777777" w:rsidTr="00252B3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834C0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Total</w:t>
            </w:r>
          </w:p>
        </w:tc>
        <w:tc>
          <w:tcPr>
            <w:tcW w:w="12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C5C67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66.236</w:t>
            </w:r>
          </w:p>
        </w:tc>
        <w:tc>
          <w:tcPr>
            <w:tcW w:w="16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1AD29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R$ 834,3 mi</w:t>
            </w:r>
          </w:p>
        </w:tc>
        <w:tc>
          <w:tcPr>
            <w:tcW w:w="17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D049E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R$ 951,0 mi</w:t>
            </w:r>
          </w:p>
        </w:tc>
        <w:tc>
          <w:tcPr>
            <w:tcW w:w="15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EBA8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R$ 6,59 mi</w:t>
            </w:r>
          </w:p>
        </w:tc>
        <w:tc>
          <w:tcPr>
            <w:tcW w:w="14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B3FBC" w14:textId="77777777" w:rsidR="00A3143A" w:rsidRDefault="00000000" w:rsidP="00252B37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11.860</w:t>
            </w:r>
          </w:p>
        </w:tc>
      </w:tr>
    </w:tbl>
    <w:p w14:paraId="1B7DB89D" w14:textId="77777777" w:rsidR="00A3143A" w:rsidRDefault="00000000" w:rsidP="00986230">
      <w:pPr>
        <w:spacing w:before="160" w:after="120"/>
        <w:jc w:val="both"/>
      </w:pPr>
      <w:r>
        <w:rPr>
          <w:color w:val="1F2A24"/>
        </w:rPr>
        <w:t xml:space="preserve">No agregado, arrecadou-se </w:t>
      </w:r>
      <w:r>
        <w:rPr>
          <w:b/>
          <w:bCs/>
          <w:color w:val="1F2A24"/>
        </w:rPr>
        <w:t>R$ 117 milhões acima</w:t>
      </w:r>
      <w:r>
        <w:rPr>
          <w:color w:val="1F2A24"/>
        </w:rPr>
        <w:t xml:space="preserve"> da estimativa do modelo. Esse excedente decorre, em grande parte, de preços declarados acima da estimativa típica de mercado — imposto correto sobre o preço real pago — e, em menor parte, dos imóveis em que o valor venal supera o mercado.</w:t>
      </w:r>
    </w:p>
    <w:p w14:paraId="41201612" w14:textId="77777777" w:rsidR="00A3143A" w:rsidRDefault="00000000">
      <w:pPr>
        <w:pStyle w:val="Ttulo1"/>
        <w:spacing w:before="360" w:after="160"/>
      </w:pPr>
      <w:r>
        <w:rPr>
          <w:b/>
          <w:bCs/>
          <w:color w:val="0F6E56"/>
          <w:sz w:val="28"/>
          <w:szCs w:val="28"/>
        </w:rPr>
        <w:t>4. Leitura dos resultados</w:t>
      </w:r>
    </w:p>
    <w:p w14:paraId="06FB871F" w14:textId="77777777" w:rsidR="00A3143A" w:rsidRDefault="00000000">
      <w:pPr>
        <w:pStyle w:val="Ttulo2"/>
        <w:spacing w:before="240" w:after="120"/>
      </w:pPr>
      <w:r>
        <w:rPr>
          <w:b/>
          <w:bCs/>
          <w:color w:val="1F2A24"/>
          <w:sz w:val="24"/>
          <w:szCs w:val="24"/>
        </w:rPr>
        <w:t>4.1 A subdeclaração existe, mas a regra do maior valor a contém</w:t>
      </w:r>
    </w:p>
    <w:p w14:paraId="7A7B727F" w14:textId="77777777" w:rsidR="00A3143A" w:rsidRDefault="00000000" w:rsidP="00986230">
      <w:pPr>
        <w:spacing w:after="120"/>
        <w:jc w:val="both"/>
      </w:pPr>
      <w:r>
        <w:rPr>
          <w:color w:val="1F2A24"/>
        </w:rPr>
        <w:t>Em 44% das vendas o valor declarado ficou abaixo do valor de mercado estimado — se o imposto fosse cobrado apenas sobre o declarado, estariam em jogo R$ 42,5 milhões. Como a base de cálculo é o maior valor entre o declarado e o venal, o venal segurou a cobrança na maior parte desses casos, e a perda que efetivamente escapou das duas travas foi de R$ 6,59 milhões no período.</w:t>
      </w:r>
    </w:p>
    <w:p w14:paraId="6CE461DA" w14:textId="77777777" w:rsidR="00A3143A" w:rsidRDefault="00000000">
      <w:pPr>
        <w:pStyle w:val="Ttulo2"/>
        <w:spacing w:before="240" w:after="120"/>
      </w:pPr>
      <w:r>
        <w:rPr>
          <w:b/>
          <w:bCs/>
          <w:color w:val="1F2A24"/>
          <w:sz w:val="24"/>
          <w:szCs w:val="24"/>
        </w:rPr>
        <w:t>4.2 O venal erra para os dois lados</w:t>
      </w:r>
    </w:p>
    <w:p w14:paraId="108AE1CF" w14:textId="77777777" w:rsidR="00A3143A" w:rsidRDefault="00000000" w:rsidP="00986230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Na mediana, o venal corrigido fica 12,4% abaixo do valor de mercado estimado pelo modelo (razão 0,876).</w:t>
      </w:r>
    </w:p>
    <w:p w14:paraId="3B056E2F" w14:textId="77777777" w:rsidR="00A3143A" w:rsidRDefault="00000000" w:rsidP="00986230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O venal supera o valor de mercado em 23,4% dos imóveis — quando supera, o excesso típico é de 8,9%.</w:t>
      </w:r>
    </w:p>
    <w:p w14:paraId="5A60CC73" w14:textId="77777777" w:rsidR="00A3143A" w:rsidRDefault="00000000" w:rsidP="00986230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Nos 76,6% em que fica abaixo, a distância típica é de 17,1%.</w:t>
      </w:r>
    </w:p>
    <w:p w14:paraId="4E904DA4" w14:textId="77777777" w:rsidR="00A3143A" w:rsidRDefault="00000000" w:rsidP="00986230">
      <w:pPr>
        <w:spacing w:after="120"/>
        <w:jc w:val="both"/>
      </w:pPr>
      <w:r>
        <w:rPr>
          <w:color w:val="1F2A24"/>
        </w:rPr>
        <w:t>Ou seja: a referência atual não erra de forma uniforme — fica aquém do mercado na maioria dos imóveis e além dele numa minoria relevante, que é o recorte onde a cobrança tende a ser contestada.</w:t>
      </w:r>
    </w:p>
    <w:p w14:paraId="10FF5BB5" w14:textId="77777777" w:rsidR="00A3143A" w:rsidRDefault="00000000">
      <w:pPr>
        <w:pStyle w:val="Ttulo2"/>
        <w:spacing w:before="240" w:after="120"/>
      </w:pPr>
      <w:r>
        <w:rPr>
          <w:b/>
          <w:bCs/>
          <w:color w:val="1F2A24"/>
          <w:sz w:val="24"/>
          <w:szCs w:val="24"/>
        </w:rPr>
        <w:t>4.3 Impugnações</w:t>
      </w:r>
    </w:p>
    <w:p w14:paraId="2F6DDB0A" w14:textId="77777777" w:rsidR="00A3143A" w:rsidRDefault="00000000">
      <w:pPr>
        <w:spacing w:after="120"/>
      </w:pPr>
      <w:r>
        <w:rPr>
          <w:color w:val="1F2A24"/>
        </w:rPr>
        <w:t>A extração de transmissões registra 3.861 impugnações de valor venal no período, todas com valor arbitrado pelo auditor, em crescimento contínuo: 98 (2021), 148 (2022), 455 (2023), 944 (2024), 1.568 (2025) e 648 até junho de 2026. Destas, 2.017 são apartamentos que o modelo já avalia — mais da metade do contencioso está na tipologia coberta.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800"/>
      </w:tblGrid>
      <w:tr w:rsidR="00A3143A" w14:paraId="1A13AB4A" w14:textId="77777777" w:rsidTr="009862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CF86" w14:textId="77777777" w:rsidR="00A3143A" w:rsidRDefault="00000000" w:rsidP="00986230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Situação das 3.861 impugnações</w:t>
            </w:r>
          </w:p>
        </w:tc>
        <w:tc>
          <w:tcPr>
            <w:tcW w:w="1800" w:type="dxa"/>
            <w:shd w:val="clear" w:color="auto" w:fill="E1F5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06B2" w14:textId="77777777" w:rsidR="00A3143A" w:rsidRDefault="00000000" w:rsidP="00986230">
            <w:pPr>
              <w:jc w:val="center"/>
            </w:pPr>
            <w:r>
              <w:rPr>
                <w:b/>
                <w:bCs/>
                <w:color w:val="1F2A24"/>
                <w:sz w:val="20"/>
                <w:szCs w:val="20"/>
              </w:rPr>
              <w:t>Quantidade</w:t>
            </w:r>
          </w:p>
        </w:tc>
      </w:tr>
      <w:tr w:rsidR="00A3143A" w14:paraId="7A3D0153" w14:textId="77777777" w:rsidTr="009862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FA70" w14:textId="77777777" w:rsidR="00A3143A" w:rsidRDefault="00000000">
            <w:r>
              <w:rPr>
                <w:color w:val="1F2A24"/>
                <w:sz w:val="20"/>
                <w:szCs w:val="20"/>
              </w:rPr>
              <w:t>Baixadas (encerradas)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A29C" w14:textId="77777777" w:rsidR="00A3143A" w:rsidRDefault="00000000">
            <w:pPr>
              <w:jc w:val="right"/>
            </w:pPr>
            <w:r>
              <w:rPr>
                <w:color w:val="1F2A24"/>
                <w:sz w:val="20"/>
                <w:szCs w:val="20"/>
              </w:rPr>
              <w:t>3.116</w:t>
            </w:r>
          </w:p>
        </w:tc>
      </w:tr>
      <w:tr w:rsidR="00A3143A" w14:paraId="311385FE" w14:textId="77777777" w:rsidTr="009862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D85F" w14:textId="77777777" w:rsidR="00A3143A" w:rsidRDefault="00000000">
            <w:r>
              <w:rPr>
                <w:color w:val="1F2A24"/>
                <w:sz w:val="20"/>
                <w:szCs w:val="20"/>
              </w:rPr>
              <w:t>Canceladas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7ADE" w14:textId="77777777" w:rsidR="00A3143A" w:rsidRDefault="00000000">
            <w:pPr>
              <w:jc w:val="right"/>
            </w:pPr>
            <w:r>
              <w:rPr>
                <w:color w:val="1F2A24"/>
                <w:sz w:val="20"/>
                <w:szCs w:val="20"/>
              </w:rPr>
              <w:t>399</w:t>
            </w:r>
          </w:p>
        </w:tc>
      </w:tr>
      <w:tr w:rsidR="00A3143A" w14:paraId="1D91D405" w14:textId="77777777" w:rsidTr="009862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381D" w14:textId="77777777" w:rsidR="00A3143A" w:rsidRDefault="00000000">
            <w:r>
              <w:rPr>
                <w:color w:val="1F2A24"/>
                <w:sz w:val="20"/>
                <w:szCs w:val="20"/>
              </w:rPr>
              <w:t>Em aberto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9E62" w14:textId="77777777" w:rsidR="00A3143A" w:rsidRDefault="00000000">
            <w:pPr>
              <w:jc w:val="right"/>
            </w:pPr>
            <w:r>
              <w:rPr>
                <w:color w:val="1F2A24"/>
                <w:sz w:val="20"/>
                <w:szCs w:val="20"/>
              </w:rPr>
              <w:t>344</w:t>
            </w:r>
          </w:p>
        </w:tc>
      </w:tr>
      <w:tr w:rsidR="00A3143A" w14:paraId="5C1F86AB" w14:textId="77777777" w:rsidTr="009862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830D" w14:textId="77777777" w:rsidR="00A3143A" w:rsidRDefault="00000000">
            <w:r>
              <w:rPr>
                <w:color w:val="1F2A24"/>
                <w:sz w:val="20"/>
                <w:szCs w:val="20"/>
              </w:rPr>
              <w:t>Liberadas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959C" w14:textId="77777777" w:rsidR="00A3143A" w:rsidRDefault="00000000">
            <w:pPr>
              <w:jc w:val="right"/>
            </w:pPr>
            <w:r>
              <w:rPr>
                <w:color w:val="1F2A24"/>
                <w:sz w:val="20"/>
                <w:szCs w:val="20"/>
              </w:rPr>
              <w:t>2</w:t>
            </w:r>
          </w:p>
        </w:tc>
      </w:tr>
      <w:tr w:rsidR="00A3143A" w14:paraId="0D3C3BD9" w14:textId="77777777" w:rsidTr="009862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37D8" w14:textId="77777777" w:rsidR="00A3143A" w:rsidRDefault="00000000">
            <w:r>
              <w:rPr>
                <w:color w:val="1F2A24"/>
                <w:sz w:val="20"/>
                <w:szCs w:val="20"/>
              </w:rPr>
              <w:t>— Dívida quitada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13E9F" w14:textId="77777777" w:rsidR="00A3143A" w:rsidRDefault="00000000">
            <w:pPr>
              <w:jc w:val="right"/>
            </w:pPr>
            <w:r>
              <w:rPr>
                <w:color w:val="1F2A24"/>
                <w:sz w:val="20"/>
                <w:szCs w:val="20"/>
              </w:rPr>
              <w:t>3.127</w:t>
            </w:r>
          </w:p>
        </w:tc>
      </w:tr>
      <w:tr w:rsidR="00A3143A" w14:paraId="4B6303E9" w14:textId="77777777" w:rsidTr="0098623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9E64" w14:textId="77777777" w:rsidR="00A3143A" w:rsidRDefault="00000000">
            <w:r>
              <w:rPr>
                <w:color w:val="1F2A24"/>
                <w:sz w:val="20"/>
                <w:szCs w:val="20"/>
              </w:rPr>
              <w:t>— Dívida não paga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42C4" w14:textId="77777777" w:rsidR="00A3143A" w:rsidRDefault="00000000">
            <w:pPr>
              <w:jc w:val="right"/>
            </w:pPr>
            <w:r>
              <w:rPr>
                <w:color w:val="1F2A24"/>
                <w:sz w:val="20"/>
                <w:szCs w:val="20"/>
              </w:rPr>
              <w:t>699</w:t>
            </w:r>
          </w:p>
        </w:tc>
      </w:tr>
    </w:tbl>
    <w:p w14:paraId="3099F004" w14:textId="77777777" w:rsidR="00A3143A" w:rsidRDefault="00000000" w:rsidP="008A2BDF">
      <w:pPr>
        <w:spacing w:before="160"/>
        <w:jc w:val="both"/>
      </w:pPr>
      <w:r>
        <w:rPr>
          <w:color w:val="1F2A24"/>
        </w:rPr>
        <w:lastRenderedPageBreak/>
        <w:t>Nenhuma das transmissões impugnadas integra a base limpa de treino do modelo — o funil de tratamento as exclui, o que preserva a independência entre o modelo e o contencioso que ele pode ajudar a fundamentar.</w:t>
      </w:r>
    </w:p>
    <w:p w14:paraId="1C999249" w14:textId="77777777" w:rsidR="00A3143A" w:rsidRDefault="00000000">
      <w:pPr>
        <w:pStyle w:val="Ttulo1"/>
        <w:spacing w:before="360" w:after="160"/>
      </w:pPr>
      <w:r>
        <w:rPr>
          <w:b/>
          <w:bCs/>
          <w:color w:val="0F6E56"/>
          <w:sz w:val="28"/>
          <w:szCs w:val="28"/>
        </w:rPr>
        <w:t xml:space="preserve">5. Achado adicional: transmissões de incorporação </w:t>
      </w:r>
      <w:proofErr w:type="spellStart"/>
      <w:r>
        <w:rPr>
          <w:b/>
          <w:bCs/>
          <w:color w:val="0F6E56"/>
          <w:sz w:val="28"/>
          <w:szCs w:val="28"/>
        </w:rPr>
        <w:t>pré-habite-se</w:t>
      </w:r>
      <w:proofErr w:type="spellEnd"/>
    </w:p>
    <w:p w14:paraId="4A8DC346" w14:textId="77777777" w:rsidR="00A3143A" w:rsidRDefault="00000000" w:rsidP="008A2BDF">
      <w:pPr>
        <w:spacing w:after="120"/>
        <w:jc w:val="both"/>
      </w:pPr>
      <w:r>
        <w:rPr>
          <w:color w:val="1F2A24"/>
        </w:rPr>
        <w:t xml:space="preserve">No cruzamento entre a base consolidada SELAN (19.693 transmissões de </w:t>
      </w:r>
      <w:proofErr w:type="spellStart"/>
      <w:r>
        <w:rPr>
          <w:color w:val="1F2A24"/>
        </w:rPr>
        <w:t>jan</w:t>
      </w:r>
      <w:proofErr w:type="spellEnd"/>
      <w:r>
        <w:rPr>
          <w:color w:val="1F2A24"/>
        </w:rPr>
        <w:t>–</w:t>
      </w:r>
      <w:proofErr w:type="spellStart"/>
      <w:r>
        <w:rPr>
          <w:color w:val="1F2A24"/>
        </w:rPr>
        <w:t>mai</w:t>
      </w:r>
      <w:proofErr w:type="spellEnd"/>
      <w:r>
        <w:rPr>
          <w:color w:val="1F2A24"/>
        </w:rPr>
        <w:t xml:space="preserve"> 2025 e 2026) e a extração de transmissões, 4.833 registros da base SELAN não constam da extração. Verificou-se que 100% deles são do tipo "Incorporação Imobiliária – </w:t>
      </w:r>
      <w:proofErr w:type="spellStart"/>
      <w:r>
        <w:rPr>
          <w:color w:val="1F2A24"/>
        </w:rPr>
        <w:t>pré-habite-se</w:t>
      </w:r>
      <w:proofErr w:type="spellEnd"/>
      <w:r>
        <w:rPr>
          <w:color w:val="1F2A24"/>
        </w:rPr>
        <w:t>", sem inscrição imobiliária individual — referem-se ao empreendimento, não a unidades. Não são casos avaliáveis pelo modelo de apartamentos e não representam divergência entre as bases.</w:t>
      </w:r>
    </w:p>
    <w:p w14:paraId="3B893C95" w14:textId="77777777" w:rsidR="00A3143A" w:rsidRDefault="00000000">
      <w:pPr>
        <w:pStyle w:val="Ttulo1"/>
        <w:spacing w:before="360" w:after="160"/>
      </w:pPr>
      <w:r>
        <w:rPr>
          <w:b/>
          <w:bCs/>
          <w:color w:val="0F6E56"/>
          <w:sz w:val="28"/>
          <w:szCs w:val="28"/>
        </w:rPr>
        <w:t>6. Papel do avaliador e encaminhamentos</w:t>
      </w:r>
    </w:p>
    <w:p w14:paraId="1AE5E60A" w14:textId="77777777" w:rsidR="00A3143A" w:rsidRDefault="00000000" w:rsidP="00F2177A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Cobrar o valor certo: usar a estimativa do modelo como referência de valor de mercado nas avaliações de ITIV de apartamentos, reduzindo tanto a cobrança a menor quanto a cobrança acima do mercado que alimenta impugnações.</w:t>
      </w:r>
    </w:p>
    <w:p w14:paraId="00B6D32C" w14:textId="77777777" w:rsidR="00A3143A" w:rsidRDefault="00000000" w:rsidP="00F2177A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Fundamentar as respostas às impugnações: a comparação foi realizada nas 2.017 impugnações de apartamentos, cotejando o valor arbitrado (corrigido pelo IPCA da data da solicitação) com a estimativa de mercado do modelo. Em 90,4% dos casos o valor arbitrado está abaixo da estimativa (distância mediana de 30,7%; razão mediana 0,718); apenas 2,9% superam a estimativa em mais de 15%. Na grande maioria do contencioso, portanto, a estimativa do modelo indica que o arbitramento não excedeu o valor de mercado — e a minoria de casos que supera a estimativa fica identificada objetivamente para revisão prioritária.</w:t>
      </w:r>
    </w:p>
    <w:p w14:paraId="00CFE1AE" w14:textId="77777777" w:rsidR="00A3143A" w:rsidRDefault="00000000" w:rsidP="00F2177A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Capturar o que escapa: a perda efetiva (~R$ 1,2 milhão/ano) está identificada guia a guia e pode orientar verificação prioritária.</w:t>
      </w:r>
    </w:p>
    <w:p w14:paraId="42118782" w14:textId="77777777" w:rsidR="00A3143A" w:rsidRDefault="00000000" w:rsidP="00F2177A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 xml:space="preserve">Acesso da equipe ao avaliador web: </w:t>
      </w:r>
      <w:hyperlink r:id="rId6" w:history="1">
        <w:r>
          <w:rPr>
            <w:rStyle w:val="Hyperlink"/>
          </w:rPr>
          <w:t>http://valedosrios:8084/</w:t>
        </w:r>
      </w:hyperlink>
    </w:p>
    <w:p w14:paraId="35886D84" w14:textId="77777777" w:rsidR="00A3143A" w:rsidRDefault="00000000">
      <w:pPr>
        <w:pStyle w:val="Ttulo1"/>
        <w:spacing w:before="360" w:after="160"/>
      </w:pPr>
      <w:r>
        <w:rPr>
          <w:b/>
          <w:bCs/>
          <w:color w:val="0F6E56"/>
          <w:sz w:val="28"/>
          <w:szCs w:val="28"/>
        </w:rPr>
        <w:t>7. Limites e ressalvas</w:t>
      </w:r>
    </w:p>
    <w:p w14:paraId="4DDE1FAB" w14:textId="77777777" w:rsidR="00A3143A" w:rsidRDefault="00000000" w:rsidP="00F2177A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O modelo cobre apenas apartamentos transacionados; casas, salas, lojas e terrenos dependem da expansão do método.</w:t>
      </w:r>
    </w:p>
    <w:p w14:paraId="5D71BE3C" w14:textId="77777777" w:rsidR="00A3143A" w:rsidRDefault="00000000" w:rsidP="00F2177A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A estimativa do modelo é referência técnica de valor de mercado — cada caso individual exige verificação do auditor antes de qualquer providência; o modelo não autua automaticamente.</w:t>
      </w:r>
    </w:p>
    <w:p w14:paraId="6F9BD8D7" w14:textId="77777777" w:rsidR="00A3143A" w:rsidRDefault="00000000" w:rsidP="00F2177A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O modelo foi treinado com valores declarados saneados (</w:t>
      </w:r>
      <w:proofErr w:type="spellStart"/>
      <w:r>
        <w:rPr>
          <w:color w:val="1F2A24"/>
        </w:rPr>
        <w:t>Chauvenet</w:t>
      </w:r>
      <w:proofErr w:type="spellEnd"/>
      <w:r>
        <w:rPr>
          <w:color w:val="1F2A24"/>
        </w:rPr>
        <w:t xml:space="preserve"> e filtro de plausibilidade); o teste cego (razão mediana 0,999) sustenta seu uso como referência de mercado.</w:t>
      </w:r>
    </w:p>
    <w:p w14:paraId="48DA902A" w14:textId="77777777" w:rsidR="00A3143A" w:rsidRDefault="00000000" w:rsidP="00F2177A">
      <w:pPr>
        <w:pStyle w:val="PargrafodaLista"/>
        <w:numPr>
          <w:ilvl w:val="0"/>
          <w:numId w:val="2"/>
        </w:numPr>
        <w:spacing w:after="80"/>
        <w:jc w:val="both"/>
      </w:pPr>
      <w:r>
        <w:rPr>
          <w:color w:val="1F2A24"/>
        </w:rPr>
        <w:t>Os totais deste relatório são retrospectivos e servem ao diagnóstico; a exigibilidade de diferenças em guias já pagas depende de análise jurídica dos prazos de revisão.</w:t>
      </w:r>
    </w:p>
    <w:sectPr w:rsidR="00A3143A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149"/>
    <w:multiLevelType w:val="hybridMultilevel"/>
    <w:tmpl w:val="97DC3B88"/>
    <w:lvl w:ilvl="0" w:tplc="37C28C16">
      <w:start w:val="1"/>
      <w:numFmt w:val="bullet"/>
      <w:lvlText w:val="●"/>
      <w:lvlJc w:val="left"/>
      <w:pPr>
        <w:ind w:left="720" w:hanging="360"/>
      </w:pPr>
    </w:lvl>
    <w:lvl w:ilvl="1" w:tplc="A59CC47E">
      <w:start w:val="1"/>
      <w:numFmt w:val="bullet"/>
      <w:lvlText w:val="○"/>
      <w:lvlJc w:val="left"/>
      <w:pPr>
        <w:ind w:left="1440" w:hanging="360"/>
      </w:pPr>
    </w:lvl>
    <w:lvl w:ilvl="2" w:tplc="8DE88ED0">
      <w:start w:val="1"/>
      <w:numFmt w:val="bullet"/>
      <w:lvlText w:val="■"/>
      <w:lvlJc w:val="left"/>
      <w:pPr>
        <w:ind w:left="2160" w:hanging="360"/>
      </w:pPr>
    </w:lvl>
    <w:lvl w:ilvl="3" w:tplc="234A2ED0">
      <w:start w:val="1"/>
      <w:numFmt w:val="bullet"/>
      <w:lvlText w:val="●"/>
      <w:lvlJc w:val="left"/>
      <w:pPr>
        <w:ind w:left="2880" w:hanging="360"/>
      </w:pPr>
    </w:lvl>
    <w:lvl w:ilvl="4" w:tplc="432090A2">
      <w:start w:val="1"/>
      <w:numFmt w:val="bullet"/>
      <w:lvlText w:val="○"/>
      <w:lvlJc w:val="left"/>
      <w:pPr>
        <w:ind w:left="3600" w:hanging="360"/>
      </w:pPr>
    </w:lvl>
    <w:lvl w:ilvl="5" w:tplc="2E3E7FA4">
      <w:start w:val="1"/>
      <w:numFmt w:val="bullet"/>
      <w:lvlText w:val="■"/>
      <w:lvlJc w:val="left"/>
      <w:pPr>
        <w:ind w:left="4320" w:hanging="360"/>
      </w:pPr>
    </w:lvl>
    <w:lvl w:ilvl="6" w:tplc="150027EC">
      <w:start w:val="1"/>
      <w:numFmt w:val="bullet"/>
      <w:lvlText w:val="●"/>
      <w:lvlJc w:val="left"/>
      <w:pPr>
        <w:ind w:left="5040" w:hanging="360"/>
      </w:pPr>
    </w:lvl>
    <w:lvl w:ilvl="7" w:tplc="0FFEE898">
      <w:start w:val="1"/>
      <w:numFmt w:val="bullet"/>
      <w:lvlText w:val="●"/>
      <w:lvlJc w:val="left"/>
      <w:pPr>
        <w:ind w:left="5760" w:hanging="360"/>
      </w:pPr>
    </w:lvl>
    <w:lvl w:ilvl="8" w:tplc="CE58B7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1C7E58"/>
    <w:multiLevelType w:val="hybridMultilevel"/>
    <w:tmpl w:val="B002AC4A"/>
    <w:lvl w:ilvl="0" w:tplc="2B748048">
      <w:start w:val="1"/>
      <w:numFmt w:val="bullet"/>
      <w:lvlText w:val="•"/>
      <w:lvlJc w:val="left"/>
      <w:pPr>
        <w:ind w:left="360" w:hanging="200"/>
      </w:pPr>
    </w:lvl>
    <w:lvl w:ilvl="1" w:tplc="EBA26B30">
      <w:numFmt w:val="decimal"/>
      <w:lvlText w:val=""/>
      <w:lvlJc w:val="left"/>
    </w:lvl>
    <w:lvl w:ilvl="2" w:tplc="8E58639C">
      <w:numFmt w:val="decimal"/>
      <w:lvlText w:val=""/>
      <w:lvlJc w:val="left"/>
    </w:lvl>
    <w:lvl w:ilvl="3" w:tplc="D3A287B4">
      <w:numFmt w:val="decimal"/>
      <w:lvlText w:val=""/>
      <w:lvlJc w:val="left"/>
    </w:lvl>
    <w:lvl w:ilvl="4" w:tplc="AF001E28">
      <w:numFmt w:val="decimal"/>
      <w:lvlText w:val=""/>
      <w:lvlJc w:val="left"/>
    </w:lvl>
    <w:lvl w:ilvl="5" w:tplc="4EE648C8">
      <w:numFmt w:val="decimal"/>
      <w:lvlText w:val=""/>
      <w:lvlJc w:val="left"/>
    </w:lvl>
    <w:lvl w:ilvl="6" w:tplc="888E3340">
      <w:numFmt w:val="decimal"/>
      <w:lvlText w:val=""/>
      <w:lvlJc w:val="left"/>
    </w:lvl>
    <w:lvl w:ilvl="7" w:tplc="843679B2">
      <w:numFmt w:val="decimal"/>
      <w:lvlText w:val=""/>
      <w:lvlJc w:val="left"/>
    </w:lvl>
    <w:lvl w:ilvl="8" w:tplc="1D4A1C5E">
      <w:numFmt w:val="decimal"/>
      <w:lvlText w:val=""/>
      <w:lvlJc w:val="left"/>
    </w:lvl>
  </w:abstractNum>
  <w:num w:numId="1" w16cid:durableId="986279920">
    <w:abstractNumId w:val="0"/>
    <w:lvlOverride w:ilvl="0">
      <w:startOverride w:val="1"/>
    </w:lvlOverride>
  </w:num>
  <w:num w:numId="2" w16cid:durableId="11872103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43A"/>
    <w:rsid w:val="001972F7"/>
    <w:rsid w:val="00252B37"/>
    <w:rsid w:val="00570EE5"/>
    <w:rsid w:val="008A2BDF"/>
    <w:rsid w:val="00986230"/>
    <w:rsid w:val="00A3143A"/>
    <w:rsid w:val="00F2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DBF4E"/>
  <w15:docId w15:val="{2FDC8CE5-C416-43C3-9157-612F2943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aledosrios:8084/" TargetMode="External"/><Relationship Id="rId5" Type="http://schemas.openxmlformats.org/officeDocument/2006/relationships/hyperlink" Target="http://valedosrios:808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1188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Sidnei de Oliveira Rafael</cp:lastModifiedBy>
  <cp:revision>6</cp:revision>
  <dcterms:created xsi:type="dcterms:W3CDTF">2026-07-23T00:46:00Z</dcterms:created>
  <dcterms:modified xsi:type="dcterms:W3CDTF">2026-07-23T00:59:00Z</dcterms:modified>
</cp:coreProperties>
</file>