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ITIV e valor de mercado: como a Inteligência Fiscal pode usar dados para melhorar a avaliação dos imóveis</w:t>
      </w:r>
    </w:p>
    <w:p>
      <w:r>
        <w:rPr>
          <w:i/>
          <w:iCs/>
          <w:color w:val="5B665F"/>
        </w:rPr>
        <w:t xml:space="preserve">Roteiro de apresentação — versão didática para público leigo</w:t>
      </w:r>
    </w:p>
    <w:p>
      <w:r>
        <w:rPr>
          <w:color w:val="5B665F"/>
        </w:rPr>
        <w:t xml:space="preserve">Coordenadoria de Inteligência Fiscal — SEFAZ Salvador</w:t>
      </w:r>
    </w:p>
    <w:p>
      <w:pPr>
        <w:pStyle w:val="Heading2"/>
      </w:pPr>
      <w:r>
        <w:t xml:space="preserve">Slide 1 — Abertura</w:t>
      </w:r>
    </w:p>
    <w:p>
      <w:r>
        <w:rPr>
          <w:b/>
          <w:bCs/>
          <w:color w:val="0F6E56"/>
        </w:rPr>
        <w:t xml:space="preserve">Texto no slide</w:t>
      </w:r>
    </w:p>
    <w:p>
      <w:r>
        <w:t xml:space="preserve">“ITIV e valor de mercado: como a Inteligência Fiscal pode usar dados para melhorar a avaliação dos imóveis”</w:t>
      </w:r>
    </w:p>
    <w:p>
      <w:pPr>
        <w:spacing w:before="120"/>
      </w:pPr>
      <w:r>
        <w:rPr>
          <w:b/>
          <w:bCs/>
          <w:color w:val="0F6E56"/>
        </w:rPr>
        <w:t xml:space="preserve">Notas do apresentador</w:t>
      </w:r>
    </w:p>
    <w:p>
      <w:r>
        <w:t xml:space="preserve">Explicar que esta apresentação trata de um projeto da Coordenadoria de Inteligência Fiscal para fortalecer, com base técnica, a validação do valor de mercado usado no cálculo do ITIV. Não é um projeto de automação total — é uma ferramenta de apoio à decisão dos auditores e procuradores.</w:t>
      </w:r>
    </w:p>
    <w:p>
      <w:pPr>
        <w:spacing w:before="120"/>
      </w:pPr>
      <w:r>
        <w:rPr>
          <w:b/>
          <w:bCs/>
          <w:color w:val="0F6E56"/>
        </w:rPr>
        <w:t xml:space="preserve">Sugestão visual</w:t>
      </w:r>
    </w:p>
    <w:p>
      <w:r>
        <w:rPr>
          <w:i/>
          <w:iCs/>
        </w:rPr>
        <w:t xml:space="preserve">Fundo institucional, brasão/logo da Prefeitura, ícone de prédio + lupa.</w:t>
      </w:r>
    </w:p>
    <w:p>
      <w:pPr>
        <w:shd w:fill="E1F5EE" w:val="clear"/>
        <w:spacing w:before="160"/>
      </w:pPr>
      <w:r>
        <w:rPr>
          <w:b/>
          <w:bCs/>
          <w:color w:val="04342C"/>
        </w:rPr>
        <w:t xml:space="preserve">Mensagem principal: </w:t>
      </w:r>
      <w:r>
        <w:rPr>
          <w:color w:val="04342C"/>
        </w:rPr>
        <w:t xml:space="preserve">Um projeto para tornar a avaliação do ITIV mais técnica, consistente e defensável.</w:t>
      </w:r>
    </w:p>
    <w:p>
      <w:pPr>
        <w:pStyle w:val="Heading2"/>
        <w:pageBreakBefore/>
      </w:pPr>
      <w:r>
        <w:t xml:space="preserve">Slide 2 — O problema que motivou o projeto</w:t>
      </w:r>
    </w:p>
    <w:p>
      <w:r>
        <w:rPr>
          <w:b/>
          <w:bCs/>
          <w:color w:val="0F6E56"/>
        </w:rPr>
        <w:t xml:space="preserve">Texto no slide</w:t>
      </w:r>
    </w:p>
    <w:p>
      <w:r>
        <w:t xml:space="preserve">Muitos contribuintes contestam o valor do ITIV, alegando que ele não reflete o valor real de mercado. Quando a Prefeitura não consegue provar tecnicamente o valor usado, o risco de perder o processo aumenta.</w:t>
      </w:r>
    </w:p>
    <w:p>
      <w:pPr>
        <w:spacing w:before="120"/>
      </w:pPr>
      <w:r>
        <w:rPr>
          <w:b/>
          <w:bCs/>
          <w:color w:val="0F6E56"/>
        </w:rPr>
        <w:t xml:space="preserve">Notas do apresentador</w:t>
      </w:r>
    </w:p>
    <w:p>
      <w:r>
        <w:t xml:space="preserve">Explicar que isso não é um problema pontual — é um padrão recorrente de contestação administrativa e judicial. O ônus da prova técnica geralmente recai sobre o Município.</w:t>
      </w:r>
    </w:p>
    <w:p>
      <w:pPr>
        <w:spacing w:before="120"/>
      </w:pPr>
      <w:r>
        <w:rPr>
          <w:b/>
          <w:bCs/>
          <w:color w:val="0F6E56"/>
        </w:rPr>
        <w:t xml:space="preserve">Sugestão visual</w:t>
      </w:r>
    </w:p>
    <w:p>
      <w:r>
        <w:rPr>
          <w:i/>
          <w:iCs/>
        </w:rPr>
        <w:t xml:space="preserve">Ícone de balança da justiça + gráfico simples de barras “processos ganhos x processos perdidos” (ilustrativo).</w:t>
      </w:r>
    </w:p>
    <w:p>
      <w:pPr>
        <w:shd w:fill="E1F5EE" w:val="clear"/>
        <w:spacing w:before="160"/>
      </w:pPr>
      <w:r>
        <w:rPr>
          <w:b/>
          <w:bCs/>
          <w:color w:val="04342C"/>
        </w:rPr>
        <w:t xml:space="preserve">Mensagem principal: </w:t>
      </w:r>
      <w:r>
        <w:rPr>
          <w:color w:val="04342C"/>
        </w:rPr>
        <w:t xml:space="preserve">O desafio não é apenas calcular o imposto, mas justificar tecnicamente o valor de mercado utilizado.</w:t>
      </w:r>
    </w:p>
    <w:p>
      <w:pPr>
        <w:pStyle w:val="Heading2"/>
        <w:pageBreakBefore/>
      </w:pPr>
      <w:r>
        <w:t xml:space="preserve">Slide 3 — Por que o valor de mercado é difícil de definir</w:t>
      </w:r>
    </w:p>
    <w:p>
      <w:r>
        <w:rPr>
          <w:b/>
          <w:bCs/>
          <w:color w:val="0F6E56"/>
        </w:rPr>
        <w:t xml:space="preserve">Texto no slide</w:t>
      </w:r>
    </w:p>
    <w:p>
      <w:r>
        <w:t xml:space="preserve">Imóveis não são produtos padronizados. Dois apartamentos parecidos podem valer diferente por causa de localização, padrão do prédio, andar, época da venda e outros fatores.</w:t>
      </w:r>
    </w:p>
    <w:p>
      <w:pPr>
        <w:spacing w:before="120"/>
      </w:pPr>
      <w:r>
        <w:rPr>
          <w:b/>
          <w:bCs/>
          <w:color w:val="0F6E56"/>
        </w:rPr>
        <w:t xml:space="preserve">Notas do apresentador</w:t>
      </w:r>
    </w:p>
    <w:p>
      <w:r>
        <w:t xml:space="preserve">Usar exemplo concreto: dois apartamentos de 70m² no mesmo bairro, um com vista e reforma, outro sem — valores diferentes, mesma metragem.</w:t>
      </w:r>
    </w:p>
    <w:p>
      <w:pPr>
        <w:spacing w:before="120"/>
      </w:pPr>
      <w:r>
        <w:rPr>
          <w:b/>
          <w:bCs/>
          <w:color w:val="0F6E56"/>
        </w:rPr>
        <w:t xml:space="preserve">Sugestão visual</w:t>
      </w:r>
    </w:p>
    <w:p>
      <w:r>
        <w:rPr>
          <w:i/>
          <w:iCs/>
        </w:rPr>
        <w:t xml:space="preserve">Duas plantas/fotos ilustrativas de apartamentos “parecidos, mas diferentes”, lado a lado.</w:t>
      </w:r>
    </w:p>
    <w:p>
      <w:pPr>
        <w:shd w:fill="E1F5EE" w:val="clear"/>
        <w:spacing w:before="160"/>
      </w:pPr>
      <w:r>
        <w:rPr>
          <w:b/>
          <w:bCs/>
          <w:color w:val="04342C"/>
        </w:rPr>
        <w:t xml:space="preserve">Mensagem principal: </w:t>
      </w:r>
      <w:r>
        <w:rPr>
          <w:color w:val="04342C"/>
        </w:rPr>
        <w:t xml:space="preserve">Avaliar imóveis exige comparação com o mercado, não apenas aplicação de uma tabela fixa.</w:t>
      </w:r>
    </w:p>
    <w:p>
      <w:pPr>
        <w:pStyle w:val="Heading2"/>
        <w:pageBreakBefore/>
      </w:pPr>
      <w:r>
        <w:t xml:space="preserve">Slide 4 — O que a equipe de Inteligência Fiscal propôs</w:t>
      </w:r>
    </w:p>
    <w:p>
      <w:r>
        <w:rPr>
          <w:b/>
          <w:bCs/>
          <w:color w:val="0F6E56"/>
        </w:rPr>
        <w:t xml:space="preserve">Texto no slide</w:t>
      </w:r>
    </w:p>
    <w:p>
      <w:r>
        <w:t xml:space="preserve">Usar o histórico de transações imobiliárias já registrado pelo Município para estimar o valor de mercado de novas transações de ITIV.</w:t>
      </w:r>
    </w:p>
    <w:p>
      <w:pPr>
        <w:spacing w:before="120"/>
      </w:pPr>
      <w:r>
        <w:rPr>
          <w:b/>
          <w:bCs/>
          <w:color w:val="0F6E56"/>
        </w:rPr>
        <w:t xml:space="preserve">Notas do apresentador</w:t>
      </w:r>
    </w:p>
    <w:p>
      <w:r>
        <w:t xml:space="preserve">Reforçar que a base de dados já existe — o projeto aproveita um ativo que a Prefeitura já tem, mas ainda não usa de forma sistemática para esse fim.</w:t>
      </w:r>
    </w:p>
    <w:p>
      <w:pPr>
        <w:spacing w:before="120"/>
      </w:pPr>
      <w:r>
        <w:rPr>
          <w:b/>
          <w:bCs/>
          <w:color w:val="0F6E56"/>
        </w:rPr>
        <w:t xml:space="preserve">Sugestão visual</w:t>
      </w:r>
    </w:p>
    <w:p>
      <w:r>
        <w:rPr>
          <w:i/>
          <w:iCs/>
        </w:rPr>
        <w:t xml:space="preserve">Ícone de banco de dados → seta → ícone de prédio com selo de “valor estimado”.</w:t>
      </w:r>
    </w:p>
    <w:p>
      <w:pPr>
        <w:shd w:fill="E1F5EE" w:val="clear"/>
        <w:spacing w:before="160"/>
      </w:pPr>
      <w:r>
        <w:rPr>
          <w:b/>
          <w:bCs/>
          <w:color w:val="04342C"/>
        </w:rPr>
        <w:t xml:space="preserve">Mensagem principal: </w:t>
      </w:r>
      <w:r>
        <w:rPr>
          <w:color w:val="04342C"/>
        </w:rPr>
        <w:t xml:space="preserve">O Município já possui uma fonte valiosa de informação: o próprio histórico de transações imobiliárias.</w:t>
      </w:r>
    </w:p>
    <w:p>
      <w:pPr>
        <w:pStyle w:val="Heading2"/>
        <w:pageBreakBefore/>
      </w:pPr>
      <w:r>
        <w:t xml:space="preserve">Slide 5 — A premissa de boa-fé das transações</w:t>
      </w:r>
    </w:p>
    <w:p>
      <w:r>
        <w:rPr>
          <w:b/>
          <w:bCs/>
          <w:color w:val="0F6E56"/>
        </w:rPr>
        <w:t xml:space="preserve">Texto no slide</w:t>
      </w:r>
    </w:p>
    <w:p>
      <w:r>
        <w:t xml:space="preserve">A maioria das transações registradas reflete valores reais ou próximos do mercado. O modelo aprende com o comportamento da maioria, não com casos isolados.</w:t>
      </w:r>
    </w:p>
    <w:p>
      <w:pPr>
        <w:spacing w:before="120"/>
      </w:pPr>
      <w:r>
        <w:rPr>
          <w:b/>
          <w:bCs/>
          <w:color w:val="0F6E56"/>
        </w:rPr>
        <w:t xml:space="preserve">Notas do apresentador</w:t>
      </w:r>
    </w:p>
    <w:p>
      <w:r>
        <w:t xml:space="preserve">Explicar que existem exceções (valores simbólicos, erros, casos atípicos) e que elas precisam ser tratadas com cuidado antes de ensinar o sistema — senão o aprendizado fica distorcido.</w:t>
      </w:r>
    </w:p>
    <w:p>
      <w:pPr>
        <w:spacing w:before="120"/>
      </w:pPr>
      <w:r>
        <w:rPr>
          <w:b/>
          <w:bCs/>
          <w:color w:val="0F6E56"/>
        </w:rPr>
        <w:t xml:space="preserve">Sugestão visual</w:t>
      </w:r>
    </w:p>
    <w:p>
      <w:r>
        <w:rPr>
          <w:i/>
          <w:iCs/>
        </w:rPr>
        <w:t xml:space="preserve">Ilustração de “nuvem de pontos” representando milhares de vendas, com poucos pontos fora do padrão destacados.</w:t>
      </w:r>
    </w:p>
    <w:p>
      <w:pPr>
        <w:shd w:fill="E1F5EE" w:val="clear"/>
        <w:spacing w:before="160"/>
      </w:pPr>
      <w:r>
        <w:rPr>
          <w:b/>
          <w:bCs/>
          <w:color w:val="04342C"/>
        </w:rPr>
        <w:t xml:space="preserve">Mensagem principal: </w:t>
      </w:r>
      <w:r>
        <w:rPr>
          <w:color w:val="04342C"/>
        </w:rPr>
        <w:t xml:space="preserve">A base histórica contém ruídos, mas também contém o padrão real do mercado.</w:t>
      </w:r>
    </w:p>
    <w:p>
      <w:pPr>
        <w:pStyle w:val="Heading2"/>
        <w:pageBreakBefore/>
      </w:pPr>
      <w:r>
        <w:t xml:space="preserve">Slide 6 — Como explicar inteligência artificial para um leigo</w:t>
      </w:r>
    </w:p>
    <w:p>
      <w:r>
        <w:rPr>
          <w:b/>
          <w:bCs/>
          <w:color w:val="0F6E56"/>
        </w:rPr>
        <w:t xml:space="preserve">Texto no slide</w:t>
      </w:r>
    </w:p>
    <w:p>
      <w:r>
        <w:t xml:space="preserve">“Imagine um avaliador que já analisou milhares de vendas de imóveis na cidade. Com o tempo, ele percebe que bairro, área e tipo de prédio influenciam o preço. O modelo faz algo parecido, só que com muito mais dados e de forma padronizada.”</w:t>
      </w:r>
    </w:p>
    <w:p>
      <w:pPr>
        <w:spacing w:before="120"/>
      </w:pPr>
      <w:r>
        <w:rPr>
          <w:b/>
          <w:bCs/>
          <w:color w:val="0F6E56"/>
        </w:rPr>
        <w:t xml:space="preserve">Notas do apresentador</w:t>
      </w:r>
    </w:p>
    <w:p>
      <w:r>
        <w:t xml:space="preserve">Este é o slide-chave para desmistificar “inteligência artificial”. Não é mágica nem adivinhação — é comparação em grande escala.</w:t>
      </w:r>
    </w:p>
    <w:p>
      <w:pPr>
        <w:spacing w:before="120"/>
      </w:pPr>
      <w:r>
        <w:rPr>
          <w:b/>
          <w:bCs/>
          <w:color w:val="0F6E56"/>
        </w:rPr>
        <w:t xml:space="preserve">Sugestão visual</w:t>
      </w:r>
    </w:p>
    <w:p>
      <w:r>
        <w:rPr>
          <w:i/>
          <w:iCs/>
        </w:rPr>
        <w:t xml:space="preserve">Ilustração de um avaliador humano ao lado de um “avaliador digital”, ambos olhando para o mesmo conjunto de imóveis.</w:t>
      </w:r>
    </w:p>
    <w:p>
      <w:pPr>
        <w:shd w:fill="E1F5EE" w:val="clear"/>
        <w:spacing w:before="160"/>
      </w:pPr>
      <w:r>
        <w:rPr>
          <w:b/>
          <w:bCs/>
          <w:color w:val="04342C"/>
        </w:rPr>
        <w:t xml:space="preserve">Mensagem principal: </w:t>
      </w:r>
      <w:r>
        <w:rPr>
          <w:color w:val="04342C"/>
        </w:rPr>
        <w:t xml:space="preserve">A IA identifica padrões em muitas transações para apoiar uma estimativa mais técnica.</w:t>
      </w:r>
    </w:p>
    <w:p>
      <w:pPr>
        <w:pStyle w:val="Heading2"/>
        <w:pageBreakBefore/>
      </w:pPr>
      <w:r>
        <w:t xml:space="preserve">Slide 7 — Que informações o modelo observa</w:t>
      </w:r>
    </w:p>
    <w:p>
      <w:r>
        <w:rPr>
          <w:b/>
          <w:bCs/>
          <w:color w:val="0F6E56"/>
        </w:rPr>
        <w:t xml:space="preserve">Texto no slide</w:t>
      </w:r>
    </w:p>
    <w:p>
      <w:pPr>
        <w:pStyle w:val="ListParagraph"/>
        <w:numPr>
          <w:ilvl w:val="0"/>
          <w:numId w:val="2"/>
        </w:numPr>
      </w:pPr>
      <w:r>
        <w:t xml:space="preserve">Localização geográfica</w:t>
      </w:r>
    </w:p>
    <w:p>
      <w:pPr>
        <w:pStyle w:val="ListParagraph"/>
        <w:numPr>
          <w:ilvl w:val="0"/>
          <w:numId w:val="2"/>
        </w:numPr>
      </w:pPr>
      <w:r>
        <w:t xml:space="preserve">Setor fiscal</w:t>
      </w:r>
    </w:p>
    <w:p>
      <w:pPr>
        <w:pStyle w:val="ListParagraph"/>
        <w:numPr>
          <w:ilvl w:val="0"/>
          <w:numId w:val="2"/>
        </w:numPr>
      </w:pPr>
      <w:r>
        <w:t xml:space="preserve">Área do imóvel</w:t>
      </w:r>
    </w:p>
    <w:p>
      <w:pPr>
        <w:pStyle w:val="ListParagraph"/>
        <w:numPr>
          <w:ilvl w:val="0"/>
          <w:numId w:val="2"/>
        </w:numPr>
      </w:pPr>
      <w:r>
        <w:t xml:space="preserve">Número de pavimentos do prédio</w:t>
      </w:r>
    </w:p>
    <w:p>
      <w:pPr>
        <w:pStyle w:val="ListParagraph"/>
        <w:numPr>
          <w:ilvl w:val="0"/>
          <w:numId w:val="2"/>
        </w:numPr>
      </w:pPr>
      <w:r>
        <w:t xml:space="preserve">Andar da unidade, quando disponível</w:t>
      </w:r>
    </w:p>
    <w:p>
      <w:pPr>
        <w:pStyle w:val="ListParagraph"/>
        <w:numPr>
          <w:ilvl w:val="0"/>
          <w:numId w:val="2"/>
        </w:numPr>
      </w:pPr>
      <w:r>
        <w:t xml:space="preserve">Padrão de preço por região</w:t>
      </w:r>
    </w:p>
    <w:p>
      <w:pPr>
        <w:pStyle w:val="ListParagraph"/>
        <w:numPr>
          <w:ilvl w:val="0"/>
          <w:numId w:val="2"/>
        </w:numPr>
      </w:pPr>
      <w:r>
        <w:t xml:space="preserve">Histórico de transações semelhantes</w:t>
      </w:r>
    </w:p>
    <w:p>
      <w:pPr>
        <w:spacing w:before="120"/>
      </w:pPr>
      <w:r>
        <w:rPr>
          <w:b/>
          <w:bCs/>
          <w:color w:val="0F6E56"/>
        </w:rPr>
        <w:t xml:space="preserve">Notas do apresentador</w:t>
      </w:r>
    </w:p>
    <w:p>
      <w:r>
        <w:t xml:space="preserve">Explicar rapidamente “setor fiscal” para quem não é da área tributária: é a divisão geográfica usada pela Prefeitura para fins de cobrança de impostos.</w:t>
      </w:r>
    </w:p>
    <w:p>
      <w:pPr>
        <w:spacing w:before="120"/>
      </w:pPr>
      <w:r>
        <w:rPr>
          <w:b/>
          <w:bCs/>
          <w:color w:val="0F6E56"/>
        </w:rPr>
        <w:t xml:space="preserve">Sugestão visual</w:t>
      </w:r>
    </w:p>
    <w:p>
      <w:r>
        <w:rPr>
          <w:i/>
          <w:iCs/>
        </w:rPr>
        <w:t xml:space="preserve">Ícone central de um imóvel com “raios” saindo para pequenos ícones (mapa, régua, prédio, calendário).</w:t>
      </w:r>
    </w:p>
    <w:p>
      <w:pPr>
        <w:shd w:fill="E1F5EE" w:val="clear"/>
        <w:spacing w:before="160"/>
      </w:pPr>
      <w:r>
        <w:rPr>
          <w:b/>
          <w:bCs/>
          <w:color w:val="04342C"/>
        </w:rPr>
        <w:t xml:space="preserve">Mensagem principal: </w:t>
      </w:r>
      <w:r>
        <w:rPr>
          <w:color w:val="04342C"/>
        </w:rPr>
        <w:t xml:space="preserve">O valor estimado nasce da comparação com imóveis semelhantes.</w:t>
      </w:r>
    </w:p>
    <w:p>
      <w:pPr>
        <w:pStyle w:val="Heading2"/>
        <w:pageBreakBefore/>
      </w:pPr>
      <w:r>
        <w:t xml:space="preserve">Slide 8 — Como o modelo estima o valor</w:t>
      </w:r>
    </w:p>
    <w:p>
      <w:r>
        <w:rPr>
          <w:b/>
          <w:bCs/>
          <w:color w:val="0F6E56"/>
        </w:rPr>
        <w:t xml:space="preserve">Texto no slide</w:t>
      </w:r>
    </w:p>
    <w:p>
      <w:pPr>
        <w:pStyle w:val="ListParagraph"/>
        <w:numPr>
          <w:ilvl w:val="0"/>
          <w:numId w:val="2"/>
        </w:numPr>
      </w:pPr>
      <w:r>
        <w:t xml:space="preserve">Entra uma nova transação de ITIV</w:t>
      </w:r>
    </w:p>
    <w:p>
      <w:pPr>
        <w:pStyle w:val="ListParagraph"/>
        <w:numPr>
          <w:ilvl w:val="0"/>
          <w:numId w:val="2"/>
        </w:numPr>
      </w:pPr>
      <w:r>
        <w:t xml:space="preserve">O sistema lê as características do imóvel</w:t>
      </w:r>
    </w:p>
    <w:p>
      <w:pPr>
        <w:pStyle w:val="ListParagraph"/>
        <w:numPr>
          <w:ilvl w:val="0"/>
          <w:numId w:val="2"/>
        </w:numPr>
      </w:pPr>
      <w:r>
        <w:t xml:space="preserve">Compara com o histórico de transações semelhantes</w:t>
      </w:r>
    </w:p>
    <w:p>
      <w:pPr>
        <w:pStyle w:val="ListParagraph"/>
        <w:numPr>
          <w:ilvl w:val="0"/>
          <w:numId w:val="2"/>
        </w:numPr>
      </w:pPr>
      <w:r>
        <w:t xml:space="preserve">Identifica o padrão de mercado</w:t>
      </w:r>
    </w:p>
    <w:p>
      <w:pPr>
        <w:pStyle w:val="ListParagraph"/>
        <w:numPr>
          <w:ilvl w:val="0"/>
          <w:numId w:val="2"/>
        </w:numPr>
      </w:pPr>
      <w:r>
        <w:t xml:space="preserve">Estima uma faixa provável de valor</w:t>
      </w:r>
    </w:p>
    <w:p>
      <w:pPr>
        <w:pStyle w:val="ListParagraph"/>
        <w:numPr>
          <w:ilvl w:val="0"/>
          <w:numId w:val="2"/>
        </w:numPr>
      </w:pPr>
      <w:r>
        <w:t xml:space="preserve">Sinaliza quando o valor declarado parece muito abaixo do esperado</w:t>
      </w:r>
    </w:p>
    <w:p>
      <w:pPr>
        <w:spacing w:before="120"/>
      </w:pPr>
      <w:r>
        <w:rPr>
          <w:b/>
          <w:bCs/>
          <w:color w:val="0F6E56"/>
        </w:rPr>
        <w:t xml:space="preserve">Notas do apresentador</w:t>
      </w:r>
    </w:p>
    <w:p>
      <w:r>
        <w:t xml:space="preserve">Enfatizar a palavra “compara” — é o verbo central de toda a apresentação. O modelo não inventa valor, ele compara.</w:t>
      </w:r>
    </w:p>
    <w:p>
      <w:pPr>
        <w:spacing w:before="120"/>
      </w:pPr>
      <w:r>
        <w:rPr>
          <w:b/>
          <w:bCs/>
          <w:color w:val="0F6E56"/>
        </w:rPr>
        <w:t xml:space="preserve">Sugestão visual</w:t>
      </w:r>
    </w:p>
    <w:p>
      <w:r>
        <w:rPr>
          <w:i/>
          <w:iCs/>
        </w:rPr>
        <w:t xml:space="preserve">Fluxograma horizontal de 6 caixas conectadas por setas, com ícones simples em cada etapa.</w:t>
      </w:r>
    </w:p>
    <w:p>
      <w:pPr>
        <w:shd w:fill="E1F5EE" w:val="clear"/>
        <w:spacing w:before="160"/>
      </w:pPr>
      <w:r>
        <w:rPr>
          <w:b/>
          <w:bCs/>
          <w:color w:val="04342C"/>
        </w:rPr>
        <w:t xml:space="preserve">Mensagem principal: </w:t>
      </w:r>
      <w:r>
        <w:rPr>
          <w:color w:val="04342C"/>
        </w:rPr>
        <w:t xml:space="preserve">O modelo não “chuta” o valor; ele compara o imóvel com o comportamento observado no mercado.</w:t>
      </w:r>
    </w:p>
    <w:p>
      <w:pPr>
        <w:pStyle w:val="Heading2"/>
        <w:pageBreakBefore/>
      </w:pPr>
      <w:r>
        <w:t xml:space="preserve">Slide 9 — Por que usar uma faixa de valor, e não um número único</w:t>
      </w:r>
    </w:p>
    <w:p>
      <w:r>
        <w:rPr>
          <w:b/>
          <w:bCs/>
          <w:color w:val="0F6E56"/>
        </w:rPr>
        <w:t xml:space="preserve">Texto no slide</w:t>
      </w:r>
    </w:p>
    <w:p>
      <w:r>
        <w:t xml:space="preserve">Toda avaliação tem uma margem de incerteza. Reforma, vista, estado de conservação e urgência da venda nem sempre estão no cadastro. Por isso, o modelo trabalha com uma faixa provável de valor, e não com um valor absoluto.</w:t>
      </w:r>
    </w:p>
    <w:p>
      <w:pPr>
        <w:spacing w:before="120"/>
      </w:pPr>
      <w:r>
        <w:rPr>
          <w:b/>
          <w:bCs/>
          <w:color w:val="0F6E56"/>
        </w:rPr>
        <w:t xml:space="preserve">Notas do apresentador</w:t>
      </w:r>
    </w:p>
    <w:p>
      <w:r>
        <w:t xml:space="preserve">Explicar “faixa de confiança” com analogia: é como uma previsão do tempo que diz “entre 24°C e 28°C”, não um número fechado.</w:t>
      </w:r>
    </w:p>
    <w:p>
      <w:pPr>
        <w:spacing w:before="120"/>
      </w:pPr>
      <w:r>
        <w:rPr>
          <w:b/>
          <w:bCs/>
          <w:color w:val="0F6E56"/>
        </w:rPr>
        <w:t xml:space="preserve">Sugestão visual</w:t>
      </w:r>
    </w:p>
    <w:p>
      <w:r>
        <w:rPr>
          <w:i/>
          <w:iCs/>
        </w:rPr>
        <w:t xml:space="preserve">Gráfico simples tipo termômetro/intervalo, mostrando um valor central com uma faixa colorida ao redor.</w:t>
      </w:r>
    </w:p>
    <w:p>
      <w:pPr>
        <w:shd w:fill="E1F5EE" w:val="clear"/>
        <w:spacing w:before="160"/>
      </w:pPr>
      <w:r>
        <w:rPr>
          <w:b/>
          <w:bCs/>
          <w:color w:val="04342C"/>
        </w:rPr>
        <w:t xml:space="preserve">Mensagem principal: </w:t>
      </w:r>
      <w:r>
        <w:rPr>
          <w:color w:val="04342C"/>
        </w:rPr>
        <w:t xml:space="preserve">A faixa de segurança evita que diferenças normais de mercado sejam tratadas como irregularidade.</w:t>
      </w:r>
    </w:p>
    <w:p>
      <w:pPr>
        <w:pStyle w:val="Heading2"/>
        <w:pageBreakBefore/>
      </w:pPr>
      <w:r>
        <w:t xml:space="preserve">Slide 10 — O que acontece quando há divergência</w:t>
      </w:r>
    </w:p>
    <w:p>
      <w:r>
        <w:rPr>
          <w:b/>
          <w:bCs/>
          <w:color w:val="0F6E56"/>
        </w:rPr>
        <w:t xml:space="preserve">Texto no slide</w:t>
      </w:r>
    </w:p>
    <w:p>
      <w:r>
        <w:t xml:space="preserve">Quando o valor declarado está muito abaixo da faixa esperada de mercado, a transação pode ser sinalizada para análise. Mas isso não significa autuação automática.</w:t>
      </w:r>
    </w:p>
    <w:p>
      <w:pPr>
        <w:spacing w:before="120"/>
      </w:pPr>
      <w:r>
        <w:rPr>
          <w:b/>
          <w:bCs/>
          <w:color w:val="0F6E56"/>
        </w:rPr>
        <w:t xml:space="preserve">Notas do apresentador</w:t>
      </w:r>
    </w:p>
    <w:p>
      <w:r>
        <w:t xml:space="preserve">Este é um dos slides mais sensíveis. Deixar claro, sem ambiguidade, que sinalização não é punição. É um alerta para o auditor olhar com mais atenção.</w:t>
      </w:r>
    </w:p>
    <w:p>
      <w:pPr>
        <w:spacing w:before="120"/>
      </w:pPr>
      <w:r>
        <w:rPr>
          <w:b/>
          <w:bCs/>
          <w:color w:val="0F6E56"/>
        </w:rPr>
        <w:t xml:space="preserve">Sugestão visual</w:t>
      </w:r>
    </w:p>
    <w:p>
      <w:r>
        <w:rPr>
          <w:i/>
          <w:iCs/>
        </w:rPr>
        <w:t xml:space="preserve">Ícone de radar com um ponto piscando, e ao lado um ícone de auditor examinando um documento.</w:t>
      </w:r>
    </w:p>
    <w:p>
      <w:pPr>
        <w:shd w:fill="E1F5EE" w:val="clear"/>
        <w:spacing w:before="160"/>
      </w:pPr>
      <w:r>
        <w:rPr>
          <w:b/>
          <w:bCs/>
          <w:color w:val="04342C"/>
        </w:rPr>
        <w:t xml:space="preserve">Mensagem principal: </w:t>
      </w:r>
      <w:r>
        <w:rPr>
          <w:color w:val="04342C"/>
        </w:rPr>
        <w:t xml:space="preserve">A IA aponta indícios; a análise humana confirma ou afasta o problema.</w:t>
      </w:r>
    </w:p>
    <w:p>
      <w:pPr>
        <w:pStyle w:val="Heading2"/>
        <w:pageBreakBefore/>
      </w:pPr>
      <w:r>
        <w:t xml:space="preserve">Slide 11 — Cuidados necessários com os dados</w:t>
      </w:r>
    </w:p>
    <w:p>
      <w:r>
        <w:rPr>
          <w:b/>
          <w:bCs/>
          <w:color w:val="0F6E56"/>
        </w:rPr>
        <w:t xml:space="preserve">Texto no slide</w:t>
      </w:r>
    </w:p>
    <w:p>
      <w:pPr>
        <w:pStyle w:val="ListParagraph"/>
        <w:numPr>
          <w:ilvl w:val="0"/>
          <w:numId w:val="2"/>
        </w:numPr>
      </w:pPr>
      <w:r>
        <w:t xml:space="preserve">Remover ou tratar registros duplicados</w:t>
      </w:r>
    </w:p>
    <w:p>
      <w:pPr>
        <w:pStyle w:val="ListParagraph"/>
        <w:numPr>
          <w:ilvl w:val="0"/>
          <w:numId w:val="2"/>
        </w:numPr>
      </w:pPr>
      <w:r>
        <w:t xml:space="preserve">Identificar valores simbólicos ou extremos</w:t>
      </w:r>
    </w:p>
    <w:p>
      <w:pPr>
        <w:pStyle w:val="ListParagraph"/>
        <w:numPr>
          <w:ilvl w:val="0"/>
          <w:numId w:val="2"/>
        </w:numPr>
      </w:pPr>
      <w:r>
        <w:t xml:space="preserve">Separar transações válidas de transações inadequadas</w:t>
      </w:r>
    </w:p>
    <w:p>
      <w:pPr>
        <w:pStyle w:val="ListParagraph"/>
        <w:numPr>
          <w:ilvl w:val="0"/>
          <w:numId w:val="2"/>
        </w:numPr>
      </w:pPr>
      <w:r>
        <w:t xml:space="preserve">Considerar a evolução dos preços ao longo do tempo</w:t>
      </w:r>
    </w:p>
    <w:p>
      <w:pPr>
        <w:pStyle w:val="ListParagraph"/>
        <w:numPr>
          <w:ilvl w:val="0"/>
          <w:numId w:val="2"/>
        </w:numPr>
      </w:pPr>
      <w:r>
        <w:t xml:space="preserve">Evitar que o modelo aprenda com informações distorcidas</w:t>
      </w:r>
    </w:p>
    <w:p>
      <w:pPr>
        <w:spacing w:before="120"/>
      </w:pPr>
      <w:r>
        <w:rPr>
          <w:b/>
          <w:bCs/>
          <w:color w:val="0F6E56"/>
        </w:rPr>
        <w:t xml:space="preserve">Notas do apresentador</w:t>
      </w:r>
    </w:p>
    <w:p>
      <w:r>
        <w:t xml:space="preserve">Usar a analogia: “Antes de ensinar o modelo, é preciso organizar o caderno de exemplos.” Se o caderno tem erros, o aluno aprende errado.</w:t>
      </w:r>
    </w:p>
    <w:p>
      <w:pPr>
        <w:spacing w:before="120"/>
      </w:pPr>
      <w:r>
        <w:rPr>
          <w:b/>
          <w:bCs/>
          <w:color w:val="0F6E56"/>
        </w:rPr>
        <w:t xml:space="preserve">Sugestão visual</w:t>
      </w:r>
    </w:p>
    <w:p>
      <w:r>
        <w:rPr>
          <w:i/>
          <w:iCs/>
        </w:rPr>
        <w:t xml:space="preserve">Ilustração de uma planilha “bagunçada” transformando-se em uma planilha “organizada” (antes/depois).</w:t>
      </w:r>
    </w:p>
    <w:p>
      <w:pPr>
        <w:shd w:fill="E1F5EE" w:val="clear"/>
        <w:spacing w:before="160"/>
      </w:pPr>
      <w:r>
        <w:rPr>
          <w:b/>
          <w:bCs/>
          <w:color w:val="04342C"/>
        </w:rPr>
        <w:t xml:space="preserve">Mensagem principal: </w:t>
      </w:r>
      <w:r>
        <w:rPr>
          <w:color w:val="04342C"/>
        </w:rPr>
        <w:t xml:space="preserve">A qualidade da IA depende da qualidade dos dados usados para ensiná-la.</w:t>
      </w:r>
    </w:p>
    <w:p>
      <w:pPr>
        <w:pStyle w:val="Heading2"/>
        <w:pageBreakBefore/>
      </w:pPr>
      <w:r>
        <w:t xml:space="preserve">Slide 12 — Cuidados para evitar injustiças</w:t>
      </w:r>
    </w:p>
    <w:p>
      <w:r>
        <w:rPr>
          <w:b/>
          <w:bCs/>
          <w:color w:val="0F6E56"/>
        </w:rPr>
        <w:t xml:space="preserve">Texto no slide</w:t>
      </w:r>
    </w:p>
    <w:p>
      <w:r>
        <w:t xml:space="preserve">O modelo precisa ser testado para verificar se funciona bem em diferentes faixas de valor e regiões. Ele não pode ser bom apenas para imóveis caros ou apenas para imóveis baratos, nem penalizar imóveis antigos, regiões específicas ou casos com informações cadastrais incompletas.</w:t>
      </w:r>
    </w:p>
    <w:p>
      <w:pPr>
        <w:spacing w:before="120"/>
      </w:pPr>
      <w:r>
        <w:rPr>
          <w:b/>
          <w:bCs/>
          <w:color w:val="0F6E56"/>
        </w:rPr>
        <w:t xml:space="preserve">Notas do apresentador</w:t>
      </w:r>
    </w:p>
    <w:p>
      <w:r>
        <w:t xml:space="preserve">Explicar que testes específicos verificam se o modelo trata igual imóveis de faixas de valor diferentes — isso é uma exigência técnica e também uma garantia de justiça fiscal.</w:t>
      </w:r>
    </w:p>
    <w:p>
      <w:pPr>
        <w:spacing w:before="120"/>
      </w:pPr>
      <w:r>
        <w:rPr>
          <w:b/>
          <w:bCs/>
          <w:color w:val="0F6E56"/>
        </w:rPr>
        <w:t xml:space="preserve">Sugestão visual</w:t>
      </w:r>
    </w:p>
    <w:p>
      <w:r>
        <w:rPr>
          <w:i/>
          <w:iCs/>
        </w:rPr>
        <w:t xml:space="preserve">Balança equilibrada com um imóvel barato de um lado e um imóvel caro do outro.</w:t>
      </w:r>
    </w:p>
    <w:p>
      <w:pPr>
        <w:shd w:fill="E1F5EE" w:val="clear"/>
        <w:spacing w:before="160"/>
      </w:pPr>
      <w:r>
        <w:rPr>
          <w:b/>
          <w:bCs/>
          <w:color w:val="04342C"/>
        </w:rPr>
        <w:t xml:space="preserve">Mensagem principal: </w:t>
      </w:r>
      <w:r>
        <w:rPr>
          <w:color w:val="04342C"/>
        </w:rPr>
        <w:t xml:space="preserve">O modelo precisa ser tecnicamente bom e fiscalmente justo.</w:t>
      </w:r>
    </w:p>
    <w:p>
      <w:pPr>
        <w:pStyle w:val="Heading2"/>
        <w:pageBreakBefore/>
      </w:pPr>
      <w:r>
        <w:t xml:space="preserve">Slide 13 — Como saber se o modelo é confiável</w:t>
      </w:r>
    </w:p>
    <w:p>
      <w:r>
        <w:rPr>
          <w:b/>
          <w:bCs/>
          <w:color w:val="0F6E56"/>
        </w:rPr>
        <w:t xml:space="preserve">Texto no slide</w:t>
      </w:r>
    </w:p>
    <w:p>
      <w:r>
        <w:t xml:space="preserve">O modelo deve ser testado com transações que ele ainda não conhece. Se consegue estimar bem valores de transações reais que não foram usadas no aprendizado, ele demonstra capacidade de generalização. Métricas conceituais: erro médio, dispersão das estimativas, comparação com preços reais, equilíbrio entre imóveis baratos e caros, comparação com critérios atuais.</w:t>
      </w:r>
    </w:p>
    <w:p>
      <w:pPr>
        <w:spacing w:before="120"/>
      </w:pPr>
      <w:r>
        <w:rPr>
          <w:b/>
          <w:bCs/>
          <w:color w:val="0F6E56"/>
        </w:rPr>
        <w:t xml:space="preserve">Notas do apresentador</w:t>
      </w:r>
    </w:p>
    <w:p>
      <w:r>
        <w:t xml:space="preserve">Explicar “treinamento” e “validação” em uma frase: treinar é como estudar com exemplos; validar é fazer uma prova com questões novas, nunca vistas antes.</w:t>
      </w:r>
    </w:p>
    <w:p>
      <w:pPr>
        <w:spacing w:before="120"/>
      </w:pPr>
      <w:r>
        <w:rPr>
          <w:b/>
          <w:bCs/>
          <w:color w:val="0F6E56"/>
        </w:rPr>
        <w:t xml:space="preserve">Sugestão visual</w:t>
      </w:r>
    </w:p>
    <w:p>
      <w:r>
        <w:rPr>
          <w:i/>
          <w:iCs/>
        </w:rPr>
        <w:t xml:space="preserve">Ilustração de uma “prova” sendo aplicada ao modelo, com um selo de aprovado/reprovado conceitual.</w:t>
      </w:r>
    </w:p>
    <w:p>
      <w:pPr>
        <w:shd w:fill="E1F5EE" w:val="clear"/>
        <w:spacing w:before="160"/>
      </w:pPr>
      <w:r>
        <w:rPr>
          <w:b/>
          <w:bCs/>
          <w:color w:val="04342C"/>
        </w:rPr>
        <w:t xml:space="preserve">Mensagem principal: </w:t>
      </w:r>
      <w:r>
        <w:rPr>
          <w:color w:val="04342C"/>
        </w:rPr>
        <w:t xml:space="preserve">O modelo precisa provar que funciona antes de ser usado como apoio à decisão.</w:t>
      </w:r>
    </w:p>
    <w:p>
      <w:pPr>
        <w:pStyle w:val="Heading2"/>
        <w:pageBreakBefore/>
      </w:pPr>
      <w:r>
        <w:t xml:space="preserve">Slide 14 — O que a IA faz e o que ela não faz</w:t>
      </w:r>
    </w:p>
    <w:p>
      <w:r>
        <w:rPr>
          <w:b/>
          <w:bCs/>
          <w:color w:val="0F6E56"/>
        </w:rPr>
        <w:t xml:space="preserve">Texto no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E1F5EE" w:val="clear"/>
            <w:tcMar>
              <w:top w:type="dxa" w:w="100"/>
              <w:left w:type="dxa" w:w="120"/>
              <w:bottom w:type="dxa" w:w="100"/>
              <w:right w:type="dxa" w:w="120"/>
            </w:tcMar>
          </w:tcPr>
          <w:p>
            <w:r>
              <w:rPr>
                <w:b/>
                <w:bCs/>
              </w:rPr>
              <w:t xml:space="preserve">A IA ajuda a...</w:t>
            </w:r>
          </w:p>
        </w:tc>
        <w:tc>
          <w:tcPr>
            <w:tcW w:type="dxa" w:w="4680"/>
            <w:tcBorders>
              <w:top w:val="single" w:color="CCCCCC" w:sz="2"/>
              <w:left w:val="single" w:color="CCCCCC" w:sz="2"/>
              <w:bottom w:val="single" w:color="CCCCCC" w:sz="2"/>
              <w:right w:val="single" w:color="CCCCCC" w:sz="2"/>
            </w:tcBorders>
            <w:shd w:fill="E1F5EE" w:val="clear"/>
            <w:tcMar>
              <w:top w:type="dxa" w:w="100"/>
              <w:left w:type="dxa" w:w="120"/>
              <w:bottom w:type="dxa" w:w="100"/>
              <w:right w:type="dxa" w:w="120"/>
            </w:tcMar>
          </w:tcPr>
          <w:p>
            <w:r>
              <w:rPr>
                <w:b/>
                <w:bCs/>
              </w:rPr>
              <w:t xml:space="preserve">A IA não deve...</w:t>
            </w:r>
          </w:p>
        </w:tc>
      </w:tr>
      <w:tr>
        <w:tc>
          <w:tcPr>
            <w:tcW w:type="dxa" w:w="468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rPr>
              <w:t xml:space="preserve">Estimar valor provável de mercado</w:t>
            </w:r>
          </w:p>
        </w:tc>
        <w:tc>
          <w:tcPr>
            <w:tcW w:type="dxa" w:w="468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rPr>
              <w:t xml:space="preserve">Substituir o auditor</w:t>
            </w:r>
          </w:p>
        </w:tc>
      </w:tr>
      <w:tr>
        <w:tc>
          <w:tcPr>
            <w:tcW w:type="dxa" w:w="468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rPr>
              <w:t xml:space="preserve">Comparar imóveis semelhantes</w:t>
            </w:r>
          </w:p>
        </w:tc>
        <w:tc>
          <w:tcPr>
            <w:tcW w:type="dxa" w:w="468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rPr>
              <w:t xml:space="preserve">Autuar automaticamente</w:t>
            </w:r>
          </w:p>
        </w:tc>
      </w:tr>
      <w:tr>
        <w:tc>
          <w:tcPr>
            <w:tcW w:type="dxa" w:w="468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rPr>
              <w:t xml:space="preserve">Encontrar transações fora do padrão</w:t>
            </w:r>
          </w:p>
        </w:tc>
        <w:tc>
          <w:tcPr>
            <w:tcW w:type="dxa" w:w="468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rPr>
              <w:t xml:space="preserve">Ignorar situações especiais</w:t>
            </w:r>
          </w:p>
        </w:tc>
      </w:tr>
      <w:tr>
        <w:tc>
          <w:tcPr>
            <w:tcW w:type="dxa" w:w="468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rPr>
              <w:t xml:space="preserve">Organizar evidências</w:t>
            </w:r>
          </w:p>
        </w:tc>
        <w:tc>
          <w:tcPr>
            <w:tcW w:type="dxa" w:w="468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rPr>
              <w:t xml:space="preserve">Decidir sem fundamentação</w:t>
            </w:r>
          </w:p>
        </w:tc>
      </w:tr>
      <w:tr>
        <w:tc>
          <w:tcPr>
            <w:tcW w:type="dxa" w:w="468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rPr>
              <w:t xml:space="preserve">Priorizar análises</w:t>
            </w:r>
          </w:p>
        </w:tc>
        <w:tc>
          <w:tcPr>
            <w:tcW w:type="dxa" w:w="468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rPr>
              <w:t xml:space="preserve">Tratar a estimativa como verdade absoluta</w:t>
            </w:r>
          </w:p>
        </w:tc>
      </w:tr>
      <w:tr>
        <w:tc>
          <w:tcPr>
            <w:tcW w:type="dxa" w:w="468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rPr>
              <w:t xml:space="preserve">Fortalecer a fundamentação técnica</w:t>
            </w:r>
          </w:p>
        </w:tc>
        <w:tc>
          <w:tcPr>
            <w:tcW w:type="dxa" w:w="468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rPr>
              <w:t xml:space="preserve"/>
            </w:r>
          </w:p>
        </w:tc>
      </w:tr>
    </w:tbl>
    <w:p>
      <w:pPr>
        <w:spacing w:before="120"/>
      </w:pPr>
      <w:r>
        <w:rPr>
          <w:b/>
          <w:bCs/>
          <w:color w:val="0F6E56"/>
        </w:rPr>
        <w:t xml:space="preserve">Notas do apresentador</w:t>
      </w:r>
    </w:p>
    <w:p>
      <w:r>
        <w:t xml:space="preserve">Este slide costuma ser o mais citado depois da apresentação — vale reforçar verbalmente cada item.</w:t>
      </w:r>
    </w:p>
    <w:p>
      <w:pPr>
        <w:spacing w:before="120"/>
      </w:pPr>
      <w:r>
        <w:rPr>
          <w:b/>
          <w:bCs/>
          <w:color w:val="0F6E56"/>
        </w:rPr>
        <w:t xml:space="preserve">Sugestão visual</w:t>
      </w:r>
    </w:p>
    <w:p>
      <w:r>
        <w:rPr>
          <w:i/>
          <w:iCs/>
        </w:rPr>
        <w:t xml:space="preserve">Tabela de duas colunas, com check verde de um lado e X vermelho do outro.</w:t>
      </w:r>
    </w:p>
    <w:p>
      <w:pPr>
        <w:shd w:fill="E1F5EE" w:val="clear"/>
        <w:spacing w:before="160"/>
      </w:pPr>
      <w:r>
        <w:rPr>
          <w:b/>
          <w:bCs/>
          <w:color w:val="04342C"/>
        </w:rPr>
        <w:t xml:space="preserve">Mensagem principal: </w:t>
      </w:r>
      <w:r>
        <w:rPr>
          <w:color w:val="04342C"/>
        </w:rPr>
        <w:t xml:space="preserve">A IA é uma ferramenta de apoio, não uma autoridade decisória.</w:t>
      </w:r>
    </w:p>
    <w:p>
      <w:pPr>
        <w:pStyle w:val="Heading2"/>
        <w:pageBreakBefore/>
      </w:pPr>
      <w:r>
        <w:t xml:space="preserve">Slide 15 — Benefícios esperados para o Município</w:t>
      </w:r>
    </w:p>
    <w:p>
      <w:r>
        <w:rPr>
          <w:b/>
          <w:bCs/>
          <w:color w:val="0F6E56"/>
        </w:rPr>
        <w:t xml:space="preserve">Texto no slide</w:t>
      </w:r>
    </w:p>
    <w:p>
      <w:pPr>
        <w:pStyle w:val="ListParagraph"/>
        <w:numPr>
          <w:ilvl w:val="0"/>
          <w:numId w:val="2"/>
        </w:numPr>
      </w:pPr>
      <w:r>
        <w:t xml:space="preserve">Maior segurança técnica no cálculo do ITIV</w:t>
      </w:r>
    </w:p>
    <w:p>
      <w:pPr>
        <w:pStyle w:val="ListParagraph"/>
        <w:numPr>
          <w:ilvl w:val="0"/>
          <w:numId w:val="2"/>
        </w:numPr>
      </w:pPr>
      <w:r>
        <w:t xml:space="preserve">Redução de perdas em contestações</w:t>
      </w:r>
    </w:p>
    <w:p>
      <w:pPr>
        <w:pStyle w:val="ListParagraph"/>
        <w:numPr>
          <w:ilvl w:val="0"/>
          <w:numId w:val="2"/>
        </w:numPr>
      </w:pPr>
      <w:r>
        <w:t xml:space="preserve">Decisões mais padronizadas</w:t>
      </w:r>
    </w:p>
    <w:p>
      <w:pPr>
        <w:pStyle w:val="ListParagraph"/>
        <w:numPr>
          <w:ilvl w:val="0"/>
          <w:numId w:val="2"/>
        </w:numPr>
      </w:pPr>
      <w:r>
        <w:t xml:space="preserve">Melhor fundamentação em processos</w:t>
      </w:r>
    </w:p>
    <w:p>
      <w:pPr>
        <w:pStyle w:val="ListParagraph"/>
        <w:numPr>
          <w:ilvl w:val="0"/>
          <w:numId w:val="2"/>
        </w:numPr>
      </w:pPr>
      <w:r>
        <w:t xml:space="preserve">Aumento da capacidade de análise da equipe</w:t>
      </w:r>
    </w:p>
    <w:p>
      <w:pPr>
        <w:pStyle w:val="ListParagraph"/>
        <w:numPr>
          <w:ilvl w:val="0"/>
          <w:numId w:val="2"/>
        </w:numPr>
      </w:pPr>
      <w:r>
        <w:t xml:space="preserve">Identificação mais rápida de valores incompatíveis</w:t>
      </w:r>
    </w:p>
    <w:p>
      <w:pPr>
        <w:pStyle w:val="ListParagraph"/>
        <w:numPr>
          <w:ilvl w:val="0"/>
          <w:numId w:val="2"/>
        </w:numPr>
      </w:pPr>
      <w:r>
        <w:t xml:space="preserve">Fortalecimento da justiça fiscal</w:t>
      </w:r>
    </w:p>
    <w:p>
      <w:pPr>
        <w:spacing w:before="120"/>
      </w:pPr>
      <w:r>
        <w:rPr>
          <w:b/>
          <w:bCs/>
          <w:color w:val="0F6E56"/>
        </w:rPr>
        <w:t xml:space="preserve">Notas do apresentador</w:t>
      </w:r>
    </w:p>
    <w:p>
      <w:r>
        <w:t xml:space="preserve">Conectar diretamente ao problema do Slide 2 — fechar o raciocínio: o problema era falta de prova técnica, o projeto entrega exatamente isso.</w:t>
      </w:r>
    </w:p>
    <w:p>
      <w:pPr>
        <w:spacing w:before="120"/>
      </w:pPr>
      <w:r>
        <w:rPr>
          <w:b/>
          <w:bCs/>
          <w:color w:val="0F6E56"/>
        </w:rPr>
        <w:t xml:space="preserve">Sugestão visual</w:t>
      </w:r>
    </w:p>
    <w:p>
      <w:r>
        <w:rPr>
          <w:i/>
          <w:iCs/>
        </w:rPr>
        <w:t xml:space="preserve">Ícones em grade (escudo, gráfico ascendente, documento, lupa).</w:t>
      </w:r>
    </w:p>
    <w:p>
      <w:pPr>
        <w:shd w:fill="E1F5EE" w:val="clear"/>
        <w:spacing w:before="160"/>
      </w:pPr>
      <w:r>
        <w:rPr>
          <w:b/>
          <w:bCs/>
          <w:color w:val="04342C"/>
        </w:rPr>
        <w:t xml:space="preserve">Mensagem principal: </w:t>
      </w:r>
      <w:r>
        <w:rPr>
          <w:color w:val="04342C"/>
        </w:rPr>
        <w:t xml:space="preserve">O projeto melhora a capacidade do Município de defender tecnicamente o valor de mercado utilizado.</w:t>
      </w:r>
    </w:p>
    <w:p>
      <w:pPr>
        <w:pStyle w:val="Heading2"/>
        <w:pageBreakBefore/>
      </w:pPr>
      <w:r>
        <w:t xml:space="preserve">Slide 16 — Benefícios para o contribuinte</w:t>
      </w:r>
    </w:p>
    <w:p>
      <w:r>
        <w:rPr>
          <w:b/>
          <w:bCs/>
          <w:color w:val="0F6E56"/>
        </w:rPr>
        <w:t xml:space="preserve">Texto no slide</w:t>
      </w:r>
    </w:p>
    <w:p>
      <w:pPr>
        <w:pStyle w:val="ListParagraph"/>
        <w:numPr>
          <w:ilvl w:val="0"/>
          <w:numId w:val="2"/>
        </w:numPr>
      </w:pPr>
      <w:r>
        <w:t xml:space="preserve">Critérios mais objetivos</w:t>
      </w:r>
    </w:p>
    <w:p>
      <w:pPr>
        <w:pStyle w:val="ListParagraph"/>
        <w:numPr>
          <w:ilvl w:val="0"/>
          <w:numId w:val="2"/>
        </w:numPr>
      </w:pPr>
      <w:r>
        <w:t xml:space="preserve">Menor subjetividade</w:t>
      </w:r>
    </w:p>
    <w:p>
      <w:pPr>
        <w:pStyle w:val="ListParagraph"/>
        <w:numPr>
          <w:ilvl w:val="0"/>
          <w:numId w:val="2"/>
        </w:numPr>
      </w:pPr>
      <w:r>
        <w:t xml:space="preserve">Maior transparência</w:t>
      </w:r>
    </w:p>
    <w:p>
      <w:pPr>
        <w:pStyle w:val="ListParagraph"/>
        <w:numPr>
          <w:ilvl w:val="0"/>
          <w:numId w:val="2"/>
        </w:numPr>
      </w:pPr>
      <w:r>
        <w:t xml:space="preserve">Tratamento mais uniforme</w:t>
      </w:r>
    </w:p>
    <w:p>
      <w:pPr>
        <w:pStyle w:val="ListParagraph"/>
        <w:numPr>
          <w:ilvl w:val="0"/>
          <w:numId w:val="2"/>
        </w:numPr>
      </w:pPr>
      <w:r>
        <w:t xml:space="preserve">Possibilidade de identificar casos em que o valor declarado é compatível com o mercado</w:t>
      </w:r>
    </w:p>
    <w:p>
      <w:pPr>
        <w:spacing w:before="120"/>
      </w:pPr>
      <w:r>
        <w:rPr>
          <w:b/>
          <w:bCs/>
          <w:color w:val="0F6E56"/>
        </w:rPr>
        <w:t xml:space="preserve">Notas do apresentador</w:t>
      </w:r>
    </w:p>
    <w:p>
      <w:r>
        <w:t xml:space="preserve">Importante para a legitimidade do projeto: não é uma ferramenta “contra” o contribuinte, é uma ferramenta de padronização que também protege quem declarou corretamente.</w:t>
      </w:r>
    </w:p>
    <w:p>
      <w:pPr>
        <w:spacing w:before="120"/>
      </w:pPr>
      <w:r>
        <w:rPr>
          <w:b/>
          <w:bCs/>
          <w:color w:val="0F6E56"/>
        </w:rPr>
        <w:t xml:space="preserve">Sugestão visual</w:t>
      </w:r>
    </w:p>
    <w:p>
      <w:r>
        <w:rPr>
          <w:i/>
          <w:iCs/>
        </w:rPr>
        <w:t xml:space="preserve">Ícone de duas pessoas (contribuinte e servidor) lado a lado, com um documento neutro entre elas.</w:t>
      </w:r>
    </w:p>
    <w:p>
      <w:pPr>
        <w:shd w:fill="E1F5EE" w:val="clear"/>
        <w:spacing w:before="160"/>
      </w:pPr>
      <w:r>
        <w:rPr>
          <w:b/>
          <w:bCs/>
          <w:color w:val="04342C"/>
        </w:rPr>
        <w:t xml:space="preserve">Mensagem principal: </w:t>
      </w:r>
      <w:r>
        <w:rPr>
          <w:color w:val="04342C"/>
        </w:rPr>
        <w:t xml:space="preserve">Um modelo bem construído protege o Município e também o contribuinte correto.</w:t>
      </w:r>
    </w:p>
    <w:p>
      <w:pPr>
        <w:pStyle w:val="Heading2"/>
        <w:pageBreakBefore/>
      </w:pPr>
      <w:r>
        <w:t xml:space="preserve">Slide 17 — Governança e segurança do projeto</w:t>
      </w:r>
    </w:p>
    <w:p>
      <w:r>
        <w:rPr>
          <w:b/>
          <w:bCs/>
          <w:color w:val="0F6E56"/>
        </w:rPr>
        <w:t xml:space="preserve">Texto no slide</w:t>
      </w:r>
    </w:p>
    <w:p>
      <w:pPr>
        <w:pStyle w:val="ListParagraph"/>
        <w:numPr>
          <w:ilvl w:val="0"/>
          <w:numId w:val="2"/>
        </w:numPr>
      </w:pPr>
      <w:r>
        <w:t xml:space="preserve">Critérios de seleção dos dados</w:t>
      </w:r>
    </w:p>
    <w:p>
      <w:pPr>
        <w:pStyle w:val="ListParagraph"/>
        <w:numPr>
          <w:ilvl w:val="0"/>
          <w:numId w:val="2"/>
        </w:numPr>
      </w:pPr>
      <w:r>
        <w:t xml:space="preserve">Tratamento de inconsistências</w:t>
      </w:r>
    </w:p>
    <w:p>
      <w:pPr>
        <w:pStyle w:val="ListParagraph"/>
        <w:numPr>
          <w:ilvl w:val="0"/>
          <w:numId w:val="2"/>
        </w:numPr>
      </w:pPr>
      <w:r>
        <w:t xml:space="preserve">Testes de desempenho</w:t>
      </w:r>
    </w:p>
    <w:p>
      <w:pPr>
        <w:pStyle w:val="ListParagraph"/>
        <w:numPr>
          <w:ilvl w:val="0"/>
          <w:numId w:val="2"/>
        </w:numPr>
      </w:pPr>
      <w:r>
        <w:t xml:space="preserve">Revisão periódica</w:t>
      </w:r>
    </w:p>
    <w:p>
      <w:pPr>
        <w:pStyle w:val="ListParagraph"/>
        <w:numPr>
          <w:ilvl w:val="0"/>
          <w:numId w:val="2"/>
        </w:numPr>
      </w:pPr>
      <w:r>
        <w:t xml:space="preserve">Análise humana dos casos sinalizados</w:t>
      </w:r>
    </w:p>
    <w:p>
      <w:pPr>
        <w:pStyle w:val="ListParagraph"/>
        <w:numPr>
          <w:ilvl w:val="0"/>
          <w:numId w:val="2"/>
        </w:numPr>
      </w:pPr>
      <w:r>
        <w:t xml:space="preserve">Registro das decisões metodológicas</w:t>
      </w:r>
    </w:p>
    <w:p>
      <w:pPr>
        <w:spacing w:before="120"/>
      </w:pPr>
      <w:r>
        <w:rPr>
          <w:b/>
          <w:bCs/>
          <w:color w:val="0F6E56"/>
        </w:rPr>
        <w:t xml:space="preserve">Notas do apresentador</w:t>
      </w:r>
    </w:p>
    <w:p>
      <w:r>
        <w:t xml:space="preserve">Importante para procuradores e dirigentes — mostra que existe controle e responsabilidade formal sobre o uso da ferramenta, não um “sistema caixa-preta”.</w:t>
      </w:r>
    </w:p>
    <w:p>
      <w:pPr>
        <w:spacing w:before="120"/>
      </w:pPr>
      <w:r>
        <w:rPr>
          <w:b/>
          <w:bCs/>
          <w:color w:val="0F6E56"/>
        </w:rPr>
        <w:t xml:space="preserve">Sugestão visual</w:t>
      </w:r>
    </w:p>
    <w:p>
      <w:r>
        <w:rPr>
          <w:i/>
          <w:iCs/>
        </w:rPr>
        <w:t xml:space="preserve">Ícone de checklist/certificado com pequenos sub-ícones (lupa, calendário, documento assinado).</w:t>
      </w:r>
    </w:p>
    <w:p>
      <w:pPr>
        <w:shd w:fill="E1F5EE" w:val="clear"/>
        <w:spacing w:before="160"/>
      </w:pPr>
      <w:r>
        <w:rPr>
          <w:b/>
          <w:bCs/>
          <w:color w:val="04342C"/>
        </w:rPr>
        <w:t xml:space="preserve">Mensagem principal: </w:t>
      </w:r>
      <w:r>
        <w:rPr>
          <w:color w:val="04342C"/>
        </w:rPr>
        <w:t xml:space="preserve">Não basta ter IA; é preciso ter governança, controle e fundamentação.</w:t>
      </w:r>
    </w:p>
    <w:p>
      <w:pPr>
        <w:pStyle w:val="Heading2"/>
        <w:pageBreakBefore/>
      </w:pPr>
      <w:r>
        <w:t xml:space="preserve">Slide 18 — Fechamento</w:t>
      </w:r>
    </w:p>
    <w:p>
      <w:r>
        <w:rPr>
          <w:b/>
          <w:bCs/>
          <w:color w:val="0F6E56"/>
        </w:rPr>
        <w:t xml:space="preserve">Texto no slide</w:t>
      </w:r>
    </w:p>
    <w:p>
      <w:r>
        <w:t xml:space="preserve">“O projeto de ITIV com inteligência artificial não busca substituir a decisão humana. Ele busca transformar dados históricos em evidências técnicas, para que o Município possa estimar valores de mercado com mais consistência, justiça e segurança.”</w:t>
      </w:r>
    </w:p>
    <w:p>
      <w:pPr>
        <w:spacing w:before="120"/>
      </w:pPr>
      <w:r>
        <w:rPr>
          <w:b/>
          <w:bCs/>
          <w:color w:val="0F6E56"/>
        </w:rPr>
        <w:t xml:space="preserve">Notas do apresentador</w:t>
      </w:r>
    </w:p>
    <w:p>
      <w:r>
        <w:t xml:space="preserve">Fechar reforçando os cinco pontos: o problema é real; a base histórica é um ativo importante; o modelo preditivo ajuda a revelar padrões de mercado; a IA deve apoiar, e não substituir, a atuação fiscal; o objetivo final é melhorar a qualidade da decisão pública.</w:t>
      </w:r>
    </w:p>
    <w:p>
      <w:pPr>
        <w:spacing w:before="120"/>
      </w:pPr>
      <w:r>
        <w:rPr>
          <w:b/>
          <w:bCs/>
          <w:color w:val="0F6E56"/>
        </w:rPr>
        <w:t xml:space="preserve">Sugestão visual</w:t>
      </w:r>
    </w:p>
    <w:p>
      <w:r>
        <w:rPr>
          <w:i/>
          <w:iCs/>
        </w:rPr>
        <w:t xml:space="preserve">Retorno ao ícone inicial (prédio + lupa), agora acompanhado de um ícone de “aperto de mãos” ou “escudo protetor”.</w:t>
      </w:r>
    </w:p>
    <w:p>
      <w:pPr>
        <w:shd w:fill="E1F5EE" w:val="clear"/>
        <w:spacing w:before="160"/>
      </w:pPr>
      <w:r>
        <w:rPr>
          <w:b/>
          <w:bCs/>
          <w:color w:val="04342C"/>
        </w:rPr>
        <w:t xml:space="preserve">Mensagem principal: </w:t>
      </w:r>
      <w:r>
        <w:rPr>
          <w:color w:val="04342C"/>
        </w:rPr>
        <w:t xml:space="preserve">Transformar dados em evidência técnica, para decisões mais justas e seguras.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04342C"/>
      <w:sz w:val="32"/>
      <w:szCs w:val="32"/>
    </w:rPr>
  </w:style>
  <w:style w:type="paragraph" w:styleId="Heading2">
    <w:name w:val="Heading 2"/>
    <w:basedOn w:val="Normal"/>
    <w:next w:val="Normal"/>
    <w:qFormat/>
    <w:pPr>
      <w:spacing w:after="160" w:before="12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2026-07-08T19:42:48.347Z</dcterms:created>
  <dcterms:modified xsi:type="dcterms:W3CDTF">2026-07-08T19:42:48.353Z</dcterms:modified>
</cp:coreProperties>
</file>

<file path=docProps/custom.xml><?xml version="1.0" encoding="utf-8"?>
<Properties xmlns="http://schemas.openxmlformats.org/officeDocument/2006/custom-properties" xmlns:vt="http://schemas.openxmlformats.org/officeDocument/2006/docPropsVTypes"/>
</file>