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4230" w14:textId="77777777" w:rsidR="00B44B9C" w:rsidRDefault="00000000" w:rsidP="003730DF">
      <w:pPr>
        <w:pStyle w:val="Ttulo1"/>
        <w:jc w:val="center"/>
      </w:pPr>
      <w:r>
        <w:t>Dossiê de Validação</w:t>
      </w:r>
    </w:p>
    <w:p w14:paraId="27013F50" w14:textId="77CDFC66" w:rsidR="00085B26" w:rsidRDefault="00000000" w:rsidP="003730DF">
      <w:pPr>
        <w:pStyle w:val="Ttulo1"/>
        <w:jc w:val="center"/>
      </w:pPr>
      <w:r>
        <w:t>Modelo de Avaliação de Apartamentos (ITIV)</w:t>
      </w:r>
    </w:p>
    <w:p w14:paraId="2E1AD43D" w14:textId="77777777" w:rsidR="00085B26" w:rsidRDefault="00000000" w:rsidP="00F717F8">
      <w:pPr>
        <w:spacing w:after="120"/>
        <w:jc w:val="center"/>
      </w:pPr>
      <w:r>
        <w:t>Documento preparado para avaliação e validação da equipe SELAN. Data: 17/07/2026.</w:t>
      </w:r>
    </w:p>
    <w:p w14:paraId="564D018C" w14:textId="77777777" w:rsidR="00085B26" w:rsidRDefault="00000000" w:rsidP="00F717F8">
      <w:pPr>
        <w:spacing w:after="120"/>
        <w:jc w:val="both"/>
      </w:pPr>
      <w:r>
        <w:t>Complementa: Relatorio_Etapa4_Treino_Modelo_Apartamentos_20260714.docx, Relatório da Etapa 5 — Validação Normativa, Informações ITIV 20260610 - Status Apartamentos.xlsx e ITIV_Base_Consolidada_2025_2026 - Status Apartamentos.xlsx.</w:t>
      </w:r>
    </w:p>
    <w:p w14:paraId="63414C72" w14:textId="77777777" w:rsidR="00085B26" w:rsidRDefault="00000000" w:rsidP="00F717F8">
      <w:pPr>
        <w:spacing w:after="120"/>
        <w:jc w:val="both"/>
      </w:pPr>
      <w:r>
        <w:rPr>
          <w:i/>
          <w:iCs/>
        </w:rPr>
        <w:t>Sumário: (1) Referencial teórico e normativo; (2) Diagnóstico declarado vs. valor venal; (3) Universo das impugnações de valor venal; (4) Indicadores de validação do modelo em produção; (5) Conclusão e recomendações.</w:t>
      </w:r>
    </w:p>
    <w:p w14:paraId="5B1EA387" w14:textId="77777777" w:rsidR="00085B26" w:rsidRDefault="00000000">
      <w:pPr>
        <w:pStyle w:val="Ttulo1"/>
      </w:pPr>
      <w:r>
        <w:t>1. Referencial Teórico e Normativo</w:t>
      </w:r>
    </w:p>
    <w:p w14:paraId="41746462" w14:textId="77777777" w:rsidR="00085B26" w:rsidRDefault="00000000" w:rsidP="003730DF">
      <w:pPr>
        <w:spacing w:after="120"/>
        <w:jc w:val="both"/>
      </w:pPr>
      <w:r>
        <w:t>Este capítulo reúne a fundamentação teórica e normativa que sustenta cada escolha técnica do projeto: as normas de avaliação em massa (IAAO), as normas brasileiras de avaliação de imóveis (ABNT NBR 14653), o guia normativo nacional para avaliação em massa para fins tributários (IBAPE/SOBREA) e os algoritmos estatísticos e de aprendizado de máquina utilizados (regressão hedônica e LightGBM).</w:t>
      </w:r>
    </w:p>
    <w:p w14:paraId="293BE47C" w14:textId="77777777" w:rsidR="00085B26" w:rsidRDefault="00000000" w:rsidP="003730DF">
      <w:pPr>
        <w:pStyle w:val="Ttulo2"/>
        <w:jc w:val="both"/>
      </w:pPr>
      <w:r>
        <w:t>1.1 Normas de avaliação em massa (IAAO)</w:t>
      </w:r>
    </w:p>
    <w:p w14:paraId="79B93D90" w14:textId="77777777" w:rsidR="00085B26" w:rsidRDefault="00000000" w:rsidP="003730DF">
      <w:pPr>
        <w:spacing w:after="120"/>
        <w:jc w:val="both"/>
      </w:pPr>
      <w:r>
        <w:t>A International Association of Assessing Officers (IAAO) é a entidade internacional de referência em avaliação em massa de imóveis para fins tributários (mass appraisal). Duas publicações da IAAO fundamentam este projeto:</w:t>
      </w:r>
    </w:p>
    <w:p w14:paraId="527BB951" w14:textId="77777777" w:rsidR="00085B26" w:rsidRDefault="00000000" w:rsidP="003730DF">
      <w:pPr>
        <w:pStyle w:val="Ttulo3"/>
        <w:jc w:val="both"/>
      </w:pPr>
      <w:r>
        <w:t>IAAO Standard on Ratio Studies (2013, atualizações posteriores)</w:t>
      </w:r>
    </w:p>
    <w:p w14:paraId="6F8149F1" w14:textId="77777777" w:rsidR="00085B26" w:rsidRDefault="00000000" w:rsidP="003730DF">
      <w:pPr>
        <w:spacing w:after="120"/>
        <w:jc w:val="both"/>
      </w:pPr>
      <w:r>
        <w:t>Define os "estudos de razão" (ratio studies): comparações sistemáticas entre o valor estimado pela administração (avaliação) e o valor de mercado observado (preço de transação), usadas para medir o desempenho de um sistema de avaliação em massa. Os quatro indicadores centrais desta norma, usados em todo o projeto, são:</w:t>
      </w:r>
    </w:p>
    <w:p w14:paraId="4DFE8382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Razão mediana (Median Ratio) — mediana de (valor avaliado / valor de mercado). Mede o nível geral da avaliação: 1,00 significa que a administração acompanha o mercado no imóvel típico. A norma recomenda a faixa de 0,90 a 1,10 para aprovação geral.</w:t>
      </w:r>
    </w:p>
    <w:p w14:paraId="3807EDDD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COD — Coefficient of Dispersion (Coeficiente de Dispersão). Mede a uniformidade horizontal: o quanto a razão varia de imóvel para imóvel em torno da mediana, independentemente da direção do erro. Fórmula: média dos desvios absolutos em relação à mediana, dividida pela própria mediana, em percentual. A norma recomenda COD ≤ 15% para imóveis residenciais em áreas homogêneas — limite adotado no projeto como meta de precisão do modelo.</w:t>
      </w:r>
    </w:p>
    <w:p w14:paraId="233D16BF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PRD — Price-Related Differential. Mede a equidade vertical: se o sistema trata melhor imóveis baratos do que caros, ou o inverso (regressividade/progressividade). Calculado como a média aritmética das razões dividida pela razão ponderada pelo valor. A faixa recomendada é 0,98 a 1,03; valores acima de 1,03 indicam regressividade (imóveis caros subavaliados em relação aos baratos).</w:t>
      </w:r>
    </w:p>
    <w:p w14:paraId="799E6098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PRB — Price-Related Bias, refinamento estatístico do PRD introduzido em revisões mais recentes da norma, menos sensível a valores extremos isolados: mede o mesmo viés por </w:t>
      </w:r>
      <w:r>
        <w:lastRenderedPageBreak/>
        <w:t>meio de uma regressão do log da razão contra o log do valor. Faixa recomendada: -0,05 a +0,05. Adotado no projeto como indicador mais robusto de viés por faixa de valor, complementando o PRD.</w:t>
      </w:r>
    </w:p>
    <w:p w14:paraId="4BECA4CC" w14:textId="77777777" w:rsidR="00085B26" w:rsidRPr="003730DF" w:rsidRDefault="00000000" w:rsidP="003730DF">
      <w:pPr>
        <w:pStyle w:val="Ttulo3"/>
        <w:jc w:val="both"/>
        <w:rPr>
          <w:lang w:val="en-US"/>
        </w:rPr>
      </w:pPr>
      <w:r w:rsidRPr="003730DF">
        <w:rPr>
          <w:lang w:val="en-US"/>
        </w:rPr>
        <w:t>IAAO Standard on Mass Appraisal of Real Property (2017)</w:t>
      </w:r>
    </w:p>
    <w:p w14:paraId="507B106F" w14:textId="77777777" w:rsidR="00085B26" w:rsidRDefault="00000000" w:rsidP="003730DF">
      <w:pPr>
        <w:spacing w:after="120"/>
        <w:jc w:val="both"/>
      </w:pPr>
      <w:r>
        <w:t>Estabelece os fundamentos metodológicos da avaliação em massa: uso de modelos estatísticos calibrados sobre amostras de transações reais, separação entre amostra de treino e amostra de teste/validação (nunca usada na calibração), e a premissa central de que a avaliação em massa não busca acertar cada imóvel individualmente, mas produzir estimativas consistentes e equitativas para a população de imóveis — sendo o erro individual aceitável quando medido e reportado (o que os intervalos de confiança do modelo fazem). Esta norma fundamenta a divisão treino/teste usada nas Etapas 4 e 5 do projeto e a prática de reportar intervalo de confiança (IC 80%) junto com a estimativa pontual.</w:t>
      </w:r>
    </w:p>
    <w:p w14:paraId="1C324280" w14:textId="77777777" w:rsidR="00085B26" w:rsidRDefault="00000000" w:rsidP="003730DF">
      <w:pPr>
        <w:pStyle w:val="Ttulo2"/>
        <w:jc w:val="both"/>
      </w:pPr>
      <w:r>
        <w:t>1.2 Normas brasileiras de avaliação (ABNT NBR 14653)</w:t>
      </w:r>
    </w:p>
    <w:p w14:paraId="4F2DE99D" w14:textId="77777777" w:rsidR="00085B26" w:rsidRDefault="00000000" w:rsidP="003730DF">
      <w:pPr>
        <w:pStyle w:val="Ttulo3"/>
        <w:jc w:val="both"/>
      </w:pPr>
      <w:r>
        <w:t>NBR 14653-1:2019 — Avaliação de bens, Parte 1: Procedimentos gerais</w:t>
      </w:r>
    </w:p>
    <w:p w14:paraId="2F67FFF5" w14:textId="77777777" w:rsidR="00085B26" w:rsidRDefault="00000000" w:rsidP="003730DF">
      <w:pPr>
        <w:spacing w:after="120"/>
        <w:jc w:val="both"/>
      </w:pPr>
      <w:r>
        <w:t>Estabelece os conceitos e procedimentos gerais aplicáveis a qualquer avaliação de bens no Brasil: definição de valor de mercado, identificação da finalidade da avaliação, e os princípios gerais de fundamentação (adequação dos dados, tratamento estatístico, identificação da amostra). É a norma-base sobre a qual a NBR 14653-2 (específica para imóveis urbanos) se apoia.</w:t>
      </w:r>
    </w:p>
    <w:p w14:paraId="43D31E44" w14:textId="77777777" w:rsidR="00085B26" w:rsidRDefault="00000000" w:rsidP="003730DF">
      <w:pPr>
        <w:pStyle w:val="Ttulo3"/>
        <w:jc w:val="both"/>
      </w:pPr>
      <w:r>
        <w:t>NBR 14653-2:2011 — Avaliação de bens, Parte 2: Imóveis urbanos</w:t>
      </w:r>
    </w:p>
    <w:p w14:paraId="153CDC64" w14:textId="77777777" w:rsidR="00085B26" w:rsidRDefault="00000000" w:rsidP="003730DF">
      <w:pPr>
        <w:spacing w:after="120"/>
        <w:jc w:val="both"/>
      </w:pPr>
      <w:r>
        <w:t>Norma central para a especificação do modelo hedônico do projeto. Define:</w:t>
      </w:r>
    </w:p>
    <w:p w14:paraId="5ADF98F5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Método comparativo direto de dados de mercado com tratamento por inferência estatística (regressão), exigindo amostra representativa de transações reais.</w:t>
      </w:r>
    </w:p>
    <w:p w14:paraId="4EFBC46C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Graus de fundamentação (Tabela 1) e de precisão (Tabela 5): classificam o rigor metodológico do trabalho (Grau I a III) segundo critérios como caracterização dos dados, quantidade mínima de dados (regra 6(k+1), onde k é o número de variáveis independentes), significância estatística dos regressores (teste t) e do modelo (teste F), e amplitude do intervalo de confiança.</w:t>
      </w:r>
    </w:p>
    <w:p w14:paraId="2BAB3FC6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Anexo A — pressupostos do modelo de regressão linear: micronumerosidade, normalidade dos resíduos, homocedasticidade, ausência de autocorrelação, ausência de multicolinearidade (VIF) e ausência de pontos excessivamente influentes (distância de Cook). Todos verificados e reportados na Etapa 5 do projeto para o modelo hedônico.</w:t>
      </w:r>
    </w:p>
    <w:p w14:paraId="63BA4EEB" w14:textId="77777777" w:rsidR="00085B26" w:rsidRDefault="00000000" w:rsidP="003730DF">
      <w:pPr>
        <w:spacing w:after="120"/>
        <w:jc w:val="both"/>
      </w:pPr>
      <w:r>
        <w:t>O modelo hedônico deste projeto foi enquadrado, com base nesses critérios, no Grau II de fundamentação e Grau III de precisão (ver Relatório da Etapa 5, seções 2 e 3).</w:t>
      </w:r>
    </w:p>
    <w:p w14:paraId="7D726BDA" w14:textId="77777777" w:rsidR="00085B26" w:rsidRDefault="00000000" w:rsidP="003730DF">
      <w:pPr>
        <w:pStyle w:val="Ttulo2"/>
        <w:jc w:val="both"/>
      </w:pPr>
      <w:r>
        <w:t>1.3 Norma nacional de avaliação em massa para fins tributários (IBAPE/SOBREA, 2023)</w:t>
      </w:r>
    </w:p>
    <w:p w14:paraId="29A08C46" w14:textId="77777777" w:rsidR="00085B26" w:rsidRDefault="00000000" w:rsidP="003730DF">
      <w:pPr>
        <w:spacing w:after="120"/>
        <w:jc w:val="both"/>
      </w:pPr>
      <w:r>
        <w:t>O Instituto Brasileiro de Avaliações e Perícias de Engenharia (IBAPE), em conjunto com a Sociedade Brasileira de Avaliações (SOBREA), publicou em 2023 a norma técnica específica para avaliação em massa aplicada a fins tributários no Brasil — preenchendo uma lacuna que a NBR 14653-2 (voltada a avaliações individuais) não cobria integralmente. Pontos centrais para este projeto:</w:t>
      </w:r>
    </w:p>
    <w:p w14:paraId="0F32197F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Item 8.1.2 e 8.1.2.1: admitem expressamente o uso de técnicas de aprendizado de máquina (machine learning) na avaliação em massa, desde que a escolha do modelo seja justificada </w:t>
      </w:r>
      <w:r>
        <w:lastRenderedPageBreak/>
        <w:t>do ponto de vista teórico e prático e submetida a validação — e estabelece que tais modelos não são objeto de classificação em graus (ao contrário do modelo hedônico regido pela NBR 14653-2). É o dispositivo que autoriza normativamente o uso do LightGBM.</w:t>
      </w:r>
    </w:p>
    <w:p w14:paraId="1008DC3B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Item 7.8.4: para métodos não paramétricos (como o aprendizado de máquina), recomenda a divisão da base em três amostras — treino, validação e teste final nunca utilizado na calibração —, adotada neste projeto (validação cruzada k=10 mais teste final holdout, Etapa 4).</w:t>
      </w:r>
    </w:p>
    <w:p w14:paraId="3EF574A9" w14:textId="77777777" w:rsidR="00085B26" w:rsidRDefault="00000000" w:rsidP="003730DF">
      <w:pPr>
        <w:pStyle w:val="PargrafodaLista"/>
        <w:numPr>
          <w:ilvl w:val="0"/>
          <w:numId w:val="2"/>
        </w:numPr>
        <w:spacing w:after="80"/>
        <w:jc w:val="both"/>
      </w:pPr>
      <w:r>
        <w:t>Tabela 1 (itens de especificação do trabalho): contempla, além dos indicadores IAAO (nível geral, uniformidade), itens institucionais como contemporaneidade dos dados, cobertura do cadastro territorial e existência de observatório do mercado imobiliário — usados na Etapa 5 para o enquadramento geral do trabalho.</w:t>
      </w:r>
    </w:p>
    <w:p w14:paraId="69895E32" w14:textId="77777777" w:rsidR="00085B26" w:rsidRDefault="00000000" w:rsidP="003730DF">
      <w:pPr>
        <w:pStyle w:val="Ttulo2"/>
        <w:jc w:val="both"/>
      </w:pPr>
      <w:r>
        <w:t>1.4 Algoritmos utilizados</w:t>
      </w:r>
    </w:p>
    <w:p w14:paraId="55EF8618" w14:textId="77777777" w:rsidR="00085B26" w:rsidRDefault="00000000" w:rsidP="003730DF">
      <w:pPr>
        <w:pStyle w:val="Ttulo3"/>
        <w:jc w:val="both"/>
      </w:pPr>
      <w:r>
        <w:t>Regressão hedônica (mínimos quadrados ordinários — OLS)</w:t>
      </w:r>
    </w:p>
    <w:p w14:paraId="60F83011" w14:textId="77777777" w:rsidR="00085B26" w:rsidRDefault="00000000" w:rsidP="003730DF">
      <w:pPr>
        <w:spacing w:after="120"/>
        <w:jc w:val="both"/>
      </w:pPr>
      <w:r>
        <w:t>Modelo estatístico clássico que estima o valor do imóvel como uma combinação linear de suas características (área, andar, pavimentos, localização por setor fiscal, tendência temporal), calibrada por mínimos quadrados ordinários. É o método exigido pela NBR 14653-2 para o "método comparativo direto de dados de mercado com tratamento científico", com a vantagem de ser inteiramente interpretável: cada coeficiente tem significado direto e é auditável pelos testes estatísticos do Anexo A da norma. Neste projeto, funciona como a âncora normativa do modelo — o "modelo de referência" exigido pelas normas brasileiras, cujos pressupostos são integralmente verificáveis.</w:t>
      </w:r>
    </w:p>
    <w:p w14:paraId="2C58E4DA" w14:textId="77777777" w:rsidR="00085B26" w:rsidRDefault="00000000" w:rsidP="003730DF">
      <w:pPr>
        <w:pStyle w:val="Ttulo3"/>
        <w:jc w:val="both"/>
      </w:pPr>
      <w:r>
        <w:t>LightGBM (Gradient Boosting de árvores de decisão)</w:t>
      </w:r>
    </w:p>
    <w:p w14:paraId="69504F84" w14:textId="77777777" w:rsidR="00085B26" w:rsidRDefault="00000000" w:rsidP="003730DF">
      <w:pPr>
        <w:spacing w:after="120"/>
        <w:jc w:val="both"/>
      </w:pPr>
      <w:r>
        <w:t>LightGBM (Light Gradient Boosting Machine) é um algoritmo de aprendizado de máquina da família gradient boosting: constrói sequencialmente centenas de árvores de decisão simples, em que cada árvore nova corrige os erros residuais das anteriores, combinando-as num modelo final mais preciso. Diferentemente da regressão hedônica, não presume relação linear entre as variáveis e o valor do imóvel — captura automaticamente interações e não linearidades (por exemplo, o efeito do andar pode variar conforme o setor fiscal, sem que essa interação precise ser especificada manualmente).</w:t>
      </w:r>
    </w:p>
    <w:p w14:paraId="4907705E" w14:textId="77777777" w:rsidR="00085B26" w:rsidRDefault="00000000" w:rsidP="003730DF">
      <w:pPr>
        <w:spacing w:after="120"/>
        <w:jc w:val="both"/>
      </w:pPr>
      <w:r>
        <w:t>Sua escolha, entre cinco famílias de modelos testadas em GridSearch (Etapa 4), respalda-se em maior capacidade de capturar relações complexas entre localização, área e demais características, e em desempenho superior nos indicadores IAAO (razão mediana e COD) medidos no teste final. É respaldada pelo item 8.1.2 da norma IBAPE/SOBREA 2023, com a validação normativa documentada na Etapa 4 (GridSearch e validação cruzada k=10) e na Etapa 5 (teste final holdout e estudo de razões IAAO).</w:t>
      </w:r>
    </w:p>
    <w:p w14:paraId="3D6E91D4" w14:textId="77777777" w:rsidR="00085B26" w:rsidRDefault="00000000" w:rsidP="003730DF">
      <w:pPr>
        <w:spacing w:after="120"/>
        <w:jc w:val="both"/>
      </w:pPr>
      <w:r>
        <w:t>Uma característica do LightGBM explorada neste projeto é a explicabilidade via valores SHAP (SHapley Additive exPlanations): técnica baseada na teoria dos jogos cooperativos que decompõe cada estimativa individual do modelo na contribuição de cada variável de entrada — permitindo gerar, para cada imóvel avaliado, uma "memória de cálculo" auditável (percentual de contribuição de área, localização, andar etc.), tal como aparece no avaliador web e nas planilhas de lote.</w:t>
      </w:r>
    </w:p>
    <w:p w14:paraId="3F73DBE4" w14:textId="77777777" w:rsidR="003F40D2" w:rsidRDefault="003F40D2" w:rsidP="003730DF">
      <w:pPr>
        <w:spacing w:after="120"/>
        <w:jc w:val="both"/>
      </w:pPr>
    </w:p>
    <w:p w14:paraId="55DD3706" w14:textId="77777777" w:rsidR="00085B26" w:rsidRDefault="00000000" w:rsidP="003730DF">
      <w:pPr>
        <w:pStyle w:val="Ttulo2"/>
        <w:jc w:val="both"/>
      </w:pPr>
      <w:r>
        <w:t>1.5 Como as peças se encaixam</w:t>
      </w:r>
    </w:p>
    <w:p w14:paraId="2294C62F" w14:textId="77777777" w:rsidR="00085B26" w:rsidRDefault="00000000" w:rsidP="003730DF">
      <w:pPr>
        <w:spacing w:after="120"/>
        <w:jc w:val="both"/>
      </w:pPr>
      <w:r>
        <w:lastRenderedPageBreak/>
        <w:t>O desenho normativo do projeto usa cada norma no papel para o qual foi concebida: a IAAO fornece os indicadores universais de desempenho de um sistema de avaliação em massa (razão mediana, COD, PRD/PRB), aplicados a qualquer modelo. A NBR 14653-2 rege especificamente o modelo hedônico (regressão linear), com seus graus de fundamentação e precisão e a verificação formal dos pressupostos do Anexo A. A norma IBAPE/SOBREA 2023 preenche a lacuna que a NBR 14653-2 deixa em aberto para modelos de aprendizado de máquina, autorizando o uso do LightGBM desde que justificado e validado — e é sob essa norma, com os indicadores IAAO como métrica de desempenho, que o LightGBM é avaliado. Os capítulos seguintes deste dossiê aplicam esse mesmo referencial — tolerância de ±15% ancorada na meta de COD do IAAO/IBAPE — para diagnosticar a base de dados e validar o modelo em produção.</w:t>
      </w:r>
    </w:p>
    <w:p w14:paraId="4083CD38" w14:textId="77777777" w:rsidR="00085B26" w:rsidRDefault="00000000" w:rsidP="003730DF">
      <w:pPr>
        <w:pStyle w:val="Ttulo1"/>
        <w:jc w:val="both"/>
      </w:pPr>
      <w:r>
        <w:t>2. Diagnóstico: Valor Declarado vs. Valor Venal</w:t>
      </w:r>
    </w:p>
    <w:p w14:paraId="1B64B683" w14:textId="77777777" w:rsidR="00085B26" w:rsidRDefault="00000000" w:rsidP="003730DF">
      <w:pPr>
        <w:spacing w:after="120"/>
        <w:jc w:val="both"/>
      </w:pPr>
      <w:r>
        <w:t>Este capítulo documenta a análise da razão entre o valor declarado nas transações de apartamentos e o valor venal corrigido (VVA), com o objetivo de qualificar a base de dados usada no treino do modelo e identificar transações incompatíveis (prováveis erros de dado) que devem ser excluídas de qualquer estudo de razões.</w:t>
      </w:r>
    </w:p>
    <w:p w14:paraId="01BA78EA" w14:textId="77777777" w:rsidR="00085B26" w:rsidRDefault="00000000" w:rsidP="003730DF">
      <w:pPr>
        <w:pStyle w:val="Ttulo2"/>
        <w:jc w:val="both"/>
      </w:pPr>
      <w:r>
        <w:t>2.1 Distribuição da razão declarado/venal</w:t>
      </w:r>
    </w:p>
    <w:p w14:paraId="69BD5AC2" w14:textId="77777777" w:rsidR="00085B26" w:rsidRDefault="00000000" w:rsidP="003730DF">
      <w:pPr>
        <w:spacing w:after="120"/>
        <w:jc w:val="both"/>
      </w:pPr>
      <w:r>
        <w:t>Sobre 107.643 transações de apartamentos com valor declarado e venal corrigido positivos: a mediana da razão é 97,3% (metade das transações entre 74% e 120% do venal) — ou seja, o comportamento típico é declarar próximo do valor venal, embora apenas 1,7% declarem exatamente esse valor (o que indica que a proximidade reflete calibração de mercado, não cópia mecânica).</w:t>
      </w:r>
    </w:p>
    <w:p w14:paraId="204FB5B3" w14:textId="77777777" w:rsidR="00085B26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C412787" wp14:editId="4A965F20">
            <wp:extent cx="5905500" cy="3314700"/>
            <wp:effectExtent l="0" t="0" r="0" b="0"/>
            <wp:docPr id="1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49C1" w14:textId="77777777" w:rsidR="00085B26" w:rsidRDefault="00000000" w:rsidP="003F40D2">
      <w:pPr>
        <w:spacing w:after="120"/>
        <w:jc w:val="both"/>
      </w:pPr>
      <w:r>
        <w:t>O histograma (escala logarítmica) evidencia dois grupos de valores incompatíveis, claramente segregados do corpo central da distribuição:</w:t>
      </w:r>
    </w:p>
    <w:p w14:paraId="18EC2DA8" w14:textId="77777777" w:rsidR="00085B26" w:rsidRDefault="00000000" w:rsidP="003F40D2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Para baixo: declarações de até R$ 1,00 (3.915 transações, 3,5% da base) — concentradas em tipos de transação onde o campo "valor" tem outro significado operacional (Guia </w:t>
      </w:r>
      <w:r>
        <w:lastRenderedPageBreak/>
        <w:t>Complementar, Enfiteuse) ou cuja guia é tributada integralmente pelo venal independentemente do valor declarado.</w:t>
      </w:r>
    </w:p>
    <w:p w14:paraId="37A056E1" w14:textId="77777777" w:rsidR="00085B26" w:rsidRDefault="00000000" w:rsidP="003F40D2">
      <w:pPr>
        <w:pStyle w:val="PargrafodaLista"/>
        <w:numPr>
          <w:ilvl w:val="0"/>
          <w:numId w:val="2"/>
        </w:numPr>
        <w:spacing w:after="80"/>
        <w:jc w:val="both"/>
      </w:pPr>
      <w:r>
        <w:t>Para cima: declarações acima de 10x o valor venal (52 transações, 0,05% da base, somando R$ 20,3 bilhões declarados) — padrão compatível com erro de digitação (salto direto de valores plausíveis para múltiplos de 100x ou mais, sem gradação intermediária); 50 das 52 permanecem com a transmissão "Em aberto".</w:t>
      </w:r>
    </w:p>
    <w:p w14:paraId="1D31CF35" w14:textId="77777777" w:rsidR="00085B26" w:rsidRDefault="00000000">
      <w:pPr>
        <w:pStyle w:val="Ttulo2"/>
      </w:pPr>
      <w:r>
        <w:t>2.2 Efeito sobre os indicadores</w:t>
      </w:r>
    </w:p>
    <w:p w14:paraId="1AE6D316" w14:textId="77777777" w:rsidR="00085B26" w:rsidRDefault="00000000" w:rsidP="003F40D2">
      <w:pPr>
        <w:spacing w:after="120"/>
        <w:jc w:val="both"/>
      </w:pPr>
      <w:r>
        <w:t>A tabela a seguir mostra o quanto a presença desses valores incompatíveis distorce indicadores baseados em média — e a interpretabilidade que se recupera ao excluí-los:</w:t>
      </w:r>
    </w:p>
    <w:tbl>
      <w:tblPr>
        <w:tblW w:w="9781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1417"/>
        <w:gridCol w:w="1276"/>
        <w:gridCol w:w="1418"/>
        <w:gridCol w:w="1417"/>
        <w:gridCol w:w="1701"/>
      </w:tblGrid>
      <w:tr w:rsidR="00085B26" w14:paraId="5C6D1D67" w14:textId="77777777" w:rsidTr="003F40D2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CBAA0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Recorte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0587A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F1DAD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Média (%)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2827D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 (%)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4CD00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95FCE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PRD</w:t>
            </w:r>
          </w:p>
        </w:tc>
      </w:tr>
      <w:tr w:rsidR="00085B26" w14:paraId="3B1390AA" w14:textId="77777777" w:rsidTr="003F40D2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DE1C4" w14:textId="77777777" w:rsidR="00085B26" w:rsidRDefault="00000000">
            <w:r>
              <w:rPr>
                <w:sz w:val="19"/>
                <w:szCs w:val="19"/>
              </w:rPr>
              <w:t>Base completa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04E0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107.643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6FC11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139,1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0C0DD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97,3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A9F6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1.119.145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C2DBE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15.286,6</w:t>
            </w:r>
          </w:p>
        </w:tc>
      </w:tr>
      <w:tr w:rsidR="00085B26" w14:paraId="396A50E4" w14:textId="77777777" w:rsidTr="003F40D2">
        <w:tblPrEx>
          <w:tblCellMar>
            <w:top w:w="0" w:type="dxa"/>
            <w:bottom w:w="0" w:type="dxa"/>
          </w:tblCellMar>
        </w:tblPrEx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19DE6" w14:textId="77777777" w:rsidR="00085B26" w:rsidRDefault="00000000">
            <w:r>
              <w:rPr>
                <w:b/>
                <w:bCs/>
                <w:sz w:val="19"/>
                <w:szCs w:val="19"/>
              </w:rPr>
              <w:t>Sem absurdos (&gt;10x ou &lt;10% do venal)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38015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106.500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58577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100,1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DE600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97,7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D3138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41,8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5F30F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1,130</w:t>
            </w:r>
          </w:p>
        </w:tc>
      </w:tr>
    </w:tbl>
    <w:p w14:paraId="3EAE1318" w14:textId="77777777" w:rsidR="00085B26" w:rsidRDefault="00000000">
      <w:pPr>
        <w:spacing w:after="120"/>
      </w:pPr>
      <w:r>
        <w:rPr>
          <w:i/>
          <w:iCs/>
          <w:sz w:val="18"/>
          <w:szCs w:val="18"/>
        </w:rPr>
        <w:t>Referências IAAO: COD ≤ 15 (residencial); PRD 0,98–1,03.</w:t>
      </w:r>
    </w:p>
    <w:p w14:paraId="371F5882" w14:textId="77777777" w:rsidR="00085B26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5CC3CD9" wp14:editId="07470BBB">
            <wp:extent cx="5905500" cy="3314700"/>
            <wp:effectExtent l="0" t="0" r="0" b="0"/>
            <wp:docPr id="1726180956" name="grafico" descr="Gráfico do relatório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566E" w14:textId="77777777" w:rsidR="00085B26" w:rsidRDefault="00000000" w:rsidP="00070A47">
      <w:pPr>
        <w:spacing w:after="120"/>
        <w:jc w:val="both"/>
      </w:pPr>
      <w:r>
        <w:t>A série anual confirma que, sem os absurdos, a média acompanha a mediana de forma estável em todos os anos (2021–2026), enquanto a média da base completa oscila sem padrão discernível — sinal de que a oscilação é ruído desses poucos casos extremos, não uma tendência real de mercado.</w:t>
      </w:r>
    </w:p>
    <w:p w14:paraId="5767A6AE" w14:textId="77777777" w:rsidR="00085B26" w:rsidRDefault="00000000">
      <w:pPr>
        <w:pStyle w:val="Ttulo2"/>
      </w:pPr>
      <w:r>
        <w:t>2.3 Critério proposto de exclusão</w:t>
      </w:r>
    </w:p>
    <w:p w14:paraId="3E72508E" w14:textId="77777777" w:rsidR="00085B26" w:rsidRDefault="00000000" w:rsidP="00070A47">
      <w:pPr>
        <w:spacing w:after="120"/>
        <w:jc w:val="both"/>
        <w:rPr>
          <w:b/>
          <w:bCs/>
        </w:rPr>
      </w:pPr>
      <w:r>
        <w:rPr>
          <w:b/>
          <w:bCs/>
        </w:rPr>
        <w:t xml:space="preserve">Com base nesta análise, o projeto adota o seguinte critério para sinalizar transações com valor "suspeito" (fora de padrão, provável erro de dado) nas planilhas de status do modelo (Capítulo 4): razão entre a estimativa do modelo e o valor da transação atualizado fora do intervalo de 0,5 a 2,0 (diferença superior a 100%) — limite ancorado na pior amplitude de erro já observada na validação oficial do modelo (Etapa 5: amplitude do IC 80% de 53,9%). </w:t>
      </w:r>
      <w:r>
        <w:rPr>
          <w:b/>
          <w:bCs/>
        </w:rPr>
        <w:lastRenderedPageBreak/>
        <w:t>Diferenças além desse patamar não se explicam pela incerteza normal do modelo, apenas por erro de dado.</w:t>
      </w:r>
    </w:p>
    <w:p w14:paraId="6DC0EA7E" w14:textId="77777777" w:rsidR="00070A47" w:rsidRDefault="00070A47" w:rsidP="00070A47">
      <w:pPr>
        <w:spacing w:after="120"/>
        <w:jc w:val="both"/>
      </w:pPr>
    </w:p>
    <w:p w14:paraId="42892E47" w14:textId="77777777" w:rsidR="00085B26" w:rsidRDefault="00000000">
      <w:pPr>
        <w:pStyle w:val="Ttulo1"/>
      </w:pPr>
      <w:r>
        <w:t>3. Universo das Impugnações de Valor Venal</w:t>
      </w:r>
    </w:p>
    <w:p w14:paraId="23C139B4" w14:textId="77777777" w:rsidR="00085B26" w:rsidRDefault="00000000" w:rsidP="00070A47">
      <w:pPr>
        <w:spacing w:after="120"/>
        <w:jc w:val="both"/>
      </w:pPr>
      <w:r>
        <w:t>Levantamento do universo de transações com resultado de impugnação administrativa do VVA (Valor Venal de Referência) registrado na base ITIV, motivado pelo gargalo relatado pela equipe: ações judiciais movidas por contribuintes contra o valor venal têm resultado em perdas de arrecadação para a Prefeitura.</w:t>
      </w:r>
    </w:p>
    <w:p w14:paraId="46CF750C" w14:textId="77777777" w:rsidR="00085B26" w:rsidRDefault="00000000">
      <w:pPr>
        <w:pStyle w:val="Ttulo2"/>
      </w:pPr>
      <w:r>
        <w:t>3.1 Dimensão do universo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000"/>
      </w:tblGrid>
      <w:tr w:rsidR="00085B26" w14:paraId="1AF9C8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A3237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52E31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085B26" w14:paraId="6AAE1E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AE566" w14:textId="77777777" w:rsidR="00085B26" w:rsidRDefault="00000000">
            <w:r>
              <w:rPr>
                <w:sz w:val="19"/>
                <w:szCs w:val="19"/>
              </w:rPr>
              <w:t>Total de transmissões com "Resultado Impugnação VVA"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F7F9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3.529</w:t>
            </w:r>
          </w:p>
        </w:tc>
      </w:tr>
      <w:tr w:rsidR="00085B26" w14:paraId="5113EF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962AD" w14:textId="77777777" w:rsidR="00085B26" w:rsidRDefault="00000000">
            <w:r>
              <w:rPr>
                <w:sz w:val="19"/>
                <w:szCs w:val="19"/>
              </w:rPr>
              <w:t>Por tipologia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4F7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Apartamento 1.894 (54%) · Sala 978 (28%) · Casa 345 · Terreno 106 · Loja 103</w:t>
            </w:r>
          </w:p>
        </w:tc>
      </w:tr>
      <w:tr w:rsidR="00085B26" w14:paraId="4BA38F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24436" w14:textId="77777777" w:rsidR="00085B26" w:rsidRDefault="00000000">
            <w:r>
              <w:rPr>
                <w:sz w:val="19"/>
                <w:szCs w:val="19"/>
              </w:rPr>
              <w:t>Evolução anual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F9068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95 (2021) → 142 → 386 → 842 → 1.532 (2025) → 532 (2026, parcial)</w:t>
            </w:r>
          </w:p>
        </w:tc>
      </w:tr>
      <w:tr w:rsidR="00085B26" w14:paraId="5CC00F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59B76" w14:textId="77777777" w:rsidR="00085B26" w:rsidRDefault="00000000">
            <w:r>
              <w:rPr>
                <w:sz w:val="19"/>
                <w:szCs w:val="19"/>
              </w:rPr>
              <w:t>Situação da transmissão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9D5E9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Baixado 2.818 · Cancelado 368 · Em aberto 341</w:t>
            </w:r>
          </w:p>
        </w:tc>
      </w:tr>
    </w:tbl>
    <w:p w14:paraId="4F209D9C" w14:textId="77777777" w:rsidR="00085B26" w:rsidRDefault="00000000" w:rsidP="00070A47">
      <w:pPr>
        <w:spacing w:after="120"/>
        <w:jc w:val="both"/>
      </w:pPr>
      <w:r>
        <w:t>As Salas comerciais estão fortemente sobrerrepresentadas (28% das impugnações), e o volume de impugnações multiplicou por 16 entre 2021 e 2025.</w:t>
      </w:r>
    </w:p>
    <w:p w14:paraId="2C007C27" w14:textId="77777777" w:rsidR="00070A47" w:rsidRDefault="00070A47" w:rsidP="00070A47">
      <w:pPr>
        <w:spacing w:after="120"/>
        <w:jc w:val="both"/>
      </w:pPr>
    </w:p>
    <w:p w14:paraId="314B5545" w14:textId="77777777" w:rsidR="00085B26" w:rsidRDefault="00000000">
      <w:pPr>
        <w:pStyle w:val="Ttulo2"/>
      </w:pPr>
      <w:r>
        <w:t>3.2 Indicadores do universo impugnado (venal corrigido vs. declarado)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2000"/>
        <w:gridCol w:w="1200"/>
        <w:gridCol w:w="1200"/>
        <w:gridCol w:w="1800"/>
      </w:tblGrid>
      <w:tr w:rsidR="00085B26" w14:paraId="58F53B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30B9D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4DD2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32536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 venal/declarado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78419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39A1B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F4A6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Declarado típico</w:t>
            </w:r>
          </w:p>
        </w:tc>
      </w:tr>
      <w:tr w:rsidR="00085B26" w14:paraId="24F631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3FA3" w14:textId="77777777" w:rsidR="00085B26" w:rsidRDefault="00000000">
            <w:r>
              <w:rPr>
                <w:sz w:val="19"/>
                <w:szCs w:val="19"/>
              </w:rPr>
              <w:t>Todas as impugnações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E3418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3.529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15B6E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1,86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D5537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185,4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AF90B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2,091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10193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54% do venal</w:t>
            </w:r>
          </w:p>
        </w:tc>
      </w:tr>
      <w:tr w:rsidR="00085B26" w14:paraId="0235FF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5F82F" w14:textId="77777777" w:rsidR="00085B26" w:rsidRDefault="00000000">
            <w:r>
              <w:rPr>
                <w:sz w:val="19"/>
                <w:szCs w:val="19"/>
              </w:rPr>
              <w:t>— Apartamento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EE02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1.894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9A057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90C96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32,5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4AE62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1,136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C1E9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59% do venal</w:t>
            </w:r>
          </w:p>
        </w:tc>
      </w:tr>
      <w:tr w:rsidR="00085B26" w14:paraId="7E5168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5EFFC" w14:textId="77777777" w:rsidR="00085B26" w:rsidRDefault="00000000">
            <w:r>
              <w:rPr>
                <w:sz w:val="19"/>
                <w:szCs w:val="19"/>
              </w:rPr>
              <w:t>— Sala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49780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978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4EB22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2,13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D44D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30,7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64BD0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73963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47% do venal</w:t>
            </w:r>
          </w:p>
        </w:tc>
      </w:tr>
      <w:tr w:rsidR="00085B26" w14:paraId="313742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37ED2" w14:textId="77777777" w:rsidR="00085B26" w:rsidRDefault="00000000">
            <w:r>
              <w:rPr>
                <w:sz w:val="19"/>
                <w:szCs w:val="19"/>
              </w:rPr>
              <w:t>— Casa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4FBF4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345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2AC4A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2,17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854E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680,7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DB001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7,553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5F5E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46% do venal</w:t>
            </w:r>
          </w:p>
        </w:tc>
      </w:tr>
      <w:tr w:rsidR="00085B26" w14:paraId="6A27C1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7F965" w14:textId="77777777" w:rsidR="00085B26" w:rsidRDefault="00000000">
            <w:r>
              <w:rPr>
                <w:sz w:val="19"/>
                <w:szCs w:val="19"/>
              </w:rPr>
              <w:t>— Terreno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75C07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24531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4,01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5620A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1.020,1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EC937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12,839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A0392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25% do venal</w:t>
            </w:r>
          </w:p>
        </w:tc>
      </w:tr>
      <w:tr w:rsidR="00085B26" w14:paraId="671F92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D29B" w14:textId="77777777" w:rsidR="00085B26" w:rsidRDefault="00000000">
            <w:r>
              <w:rPr>
                <w:sz w:val="19"/>
                <w:szCs w:val="19"/>
              </w:rPr>
              <w:t>— Loja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4475F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2D0CB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2,30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0C7F2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156,4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384B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1,713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6B58B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43% do venal</w:t>
            </w:r>
          </w:p>
        </w:tc>
      </w:tr>
    </w:tbl>
    <w:p w14:paraId="0E868491" w14:textId="77777777" w:rsidR="00070A47" w:rsidRDefault="00070A47" w:rsidP="00070A47">
      <w:pPr>
        <w:spacing w:after="120"/>
        <w:jc w:val="both"/>
      </w:pPr>
    </w:p>
    <w:p w14:paraId="4439D804" w14:textId="77777777" w:rsidR="00070A47" w:rsidRDefault="00070A47" w:rsidP="00070A47">
      <w:pPr>
        <w:spacing w:after="120"/>
        <w:jc w:val="both"/>
      </w:pPr>
    </w:p>
    <w:p w14:paraId="5A79BEBB" w14:textId="77777777" w:rsidR="00070A47" w:rsidRDefault="00070A47" w:rsidP="00070A47">
      <w:pPr>
        <w:spacing w:after="120"/>
        <w:jc w:val="both"/>
      </w:pPr>
    </w:p>
    <w:p w14:paraId="36B4B1B5" w14:textId="77777777" w:rsidR="00070A47" w:rsidRDefault="00070A47" w:rsidP="00070A47">
      <w:pPr>
        <w:spacing w:after="120"/>
        <w:jc w:val="both"/>
      </w:pPr>
    </w:p>
    <w:p w14:paraId="4EACE39A" w14:textId="77777777" w:rsidR="00070A47" w:rsidRDefault="00070A47" w:rsidP="00070A47">
      <w:pPr>
        <w:spacing w:after="120"/>
        <w:jc w:val="both"/>
      </w:pPr>
    </w:p>
    <w:p w14:paraId="11C9CF8F" w14:textId="77777777" w:rsidR="00070A47" w:rsidRDefault="00070A47" w:rsidP="00070A47">
      <w:pPr>
        <w:spacing w:after="120"/>
        <w:jc w:val="both"/>
      </w:pPr>
    </w:p>
    <w:p w14:paraId="41490201" w14:textId="59A45E7D" w:rsidR="00085B26" w:rsidRDefault="00000000" w:rsidP="00070A47">
      <w:pPr>
        <w:spacing w:after="120"/>
        <w:jc w:val="both"/>
      </w:pPr>
      <w:r>
        <w:lastRenderedPageBreak/>
        <w:t>Comparação com transações de "Compra e Venda" comuns (sem impugnação) — mediana venal/declarado por tipologia:</w:t>
      </w:r>
    </w:p>
    <w:p w14:paraId="238D3744" w14:textId="77777777" w:rsidR="00070A47" w:rsidRDefault="00070A47" w:rsidP="00070A47">
      <w:pPr>
        <w:spacing w:after="120"/>
        <w:jc w:val="both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00"/>
      </w:tblGrid>
      <w:tr w:rsidR="00085B26" w14:paraId="14B48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EC033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Tipologia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02438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 venal/declarado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A3AF5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Declarado típico</w:t>
            </w:r>
          </w:p>
        </w:tc>
      </w:tr>
      <w:tr w:rsidR="00085B26" w14:paraId="52974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88CAB" w14:textId="77777777" w:rsidR="00085B26" w:rsidRDefault="00000000">
            <w:r>
              <w:rPr>
                <w:sz w:val="19"/>
                <w:szCs w:val="19"/>
              </w:rPr>
              <w:t>Apartamento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6FAA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D83D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99% do venal</w:t>
            </w:r>
          </w:p>
        </w:tc>
      </w:tr>
      <w:tr w:rsidR="00085B26" w14:paraId="4A0C4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262BD" w14:textId="77777777" w:rsidR="00085B26" w:rsidRDefault="00000000">
            <w:r>
              <w:rPr>
                <w:sz w:val="19"/>
                <w:szCs w:val="19"/>
              </w:rPr>
              <w:t>Casa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2A681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1,25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A8566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80% do venal</w:t>
            </w:r>
          </w:p>
        </w:tc>
      </w:tr>
      <w:tr w:rsidR="00085B26" w14:paraId="58B3E8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55585" w14:textId="77777777" w:rsidR="00085B26" w:rsidRDefault="00000000">
            <w:r>
              <w:rPr>
                <w:sz w:val="19"/>
                <w:szCs w:val="19"/>
              </w:rPr>
              <w:t>Loja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EA2A4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1,31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22074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76% do venal</w:t>
            </w:r>
          </w:p>
        </w:tc>
      </w:tr>
      <w:tr w:rsidR="00085B26" w14:paraId="5AFCB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687BF" w14:textId="77777777" w:rsidR="00085B26" w:rsidRDefault="00000000">
            <w:r>
              <w:rPr>
                <w:sz w:val="19"/>
                <w:szCs w:val="19"/>
              </w:rPr>
              <w:t>Terreno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24F40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1,58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7322D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63% do venal</w:t>
            </w:r>
          </w:p>
        </w:tc>
      </w:tr>
      <w:tr w:rsidR="00085B26" w14:paraId="24B53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68140" w14:textId="77777777" w:rsidR="00085B26" w:rsidRDefault="00000000">
            <w:r>
              <w:rPr>
                <w:sz w:val="19"/>
                <w:szCs w:val="19"/>
              </w:rPr>
              <w:t>Sala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9380F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1,79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8800C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56% do venal</w:t>
            </w:r>
          </w:p>
        </w:tc>
      </w:tr>
    </w:tbl>
    <w:p w14:paraId="5CA0EB05" w14:textId="77777777" w:rsidR="00070A47" w:rsidRDefault="00070A47">
      <w:pPr>
        <w:spacing w:after="120"/>
      </w:pPr>
    </w:p>
    <w:p w14:paraId="57CE9E83" w14:textId="1CF0CACD" w:rsidR="00085B26" w:rsidRDefault="00000000" w:rsidP="00070A47">
      <w:pPr>
        <w:spacing w:after="120"/>
        <w:jc w:val="both"/>
      </w:pPr>
      <w:r>
        <w:t>O padrão é consistente: onde o venal descola do mercado — mais acentuadamente em Salas — a impugnação floresce. Nos Apartamentos, única tipologia com modelo aprovado, o venal já é calibrado com o mercado na mediana (1,01), o que evidencia que o problema de descalibração está concentrado nas tipologias ainda não cobertas pelo modelo.</w:t>
      </w:r>
    </w:p>
    <w:p w14:paraId="2CA3D9DD" w14:textId="77777777" w:rsidR="00085B26" w:rsidRDefault="00000000" w:rsidP="00070A47">
      <w:pPr>
        <w:pStyle w:val="Ttulo2"/>
        <w:jc w:val="both"/>
      </w:pPr>
      <w:r>
        <w:t>3.3 Desfecho administrativo</w:t>
      </w:r>
    </w:p>
    <w:p w14:paraId="24E9B7B2" w14:textId="77777777" w:rsidR="00085B26" w:rsidRDefault="00000000" w:rsidP="00070A47">
      <w:pPr>
        <w:spacing w:after="120"/>
        <w:jc w:val="both"/>
      </w:pPr>
      <w:r>
        <w:t>O campo de valor venal arbitrado (resultado da decisão administrativa da impugnação) está preenchido em 100% dos casos, e revela um padrão determinante:</w:t>
      </w:r>
    </w:p>
    <w:p w14:paraId="3538FB49" w14:textId="77777777" w:rsidR="00085B26" w:rsidRDefault="00000000" w:rsidP="00070A47">
      <w:pPr>
        <w:pStyle w:val="PargrafodaLista"/>
        <w:numPr>
          <w:ilvl w:val="0"/>
          <w:numId w:val="2"/>
        </w:numPr>
        <w:spacing w:after="80"/>
        <w:jc w:val="both"/>
      </w:pPr>
      <w:r>
        <w:t>Mediana, percentil 25 e percentil 75 do arbitrado como razão do declarado: 100,0% nos três — ou seja, o desfecho tipicamente iguala o arbitrado ao valor declarado pelo contribuinte.</w:t>
      </w:r>
    </w:p>
    <w:p w14:paraId="660CEE44" w14:textId="77777777" w:rsidR="00085B26" w:rsidRDefault="00000000" w:rsidP="00070A47">
      <w:pPr>
        <w:pStyle w:val="PargrafodaLista"/>
        <w:numPr>
          <w:ilvl w:val="0"/>
          <w:numId w:val="2"/>
        </w:numPr>
        <w:spacing w:after="80"/>
        <w:jc w:val="both"/>
      </w:pPr>
      <w:r>
        <w:t>Em valores agregados: soma do venal corrigido R$ 5,82 bilhões vs. soma do venal arbitrado R$ 2,67 bilhões — redução agregada de 54,0% da base de cálculo.</w:t>
      </w:r>
    </w:p>
    <w:p w14:paraId="191DA33D" w14:textId="77777777" w:rsidR="00085B26" w:rsidRDefault="00000000" w:rsidP="00070A47">
      <w:pPr>
        <w:pStyle w:val="PargrafodaLista"/>
        <w:numPr>
          <w:ilvl w:val="0"/>
          <w:numId w:val="2"/>
        </w:numPr>
        <w:spacing w:after="80"/>
        <w:jc w:val="both"/>
      </w:pPr>
      <w:r>
        <w:t>Em 99,3% dos casos, o venal corrigido superava o declarado antes da impugnação — a motivação típica da contestação.</w:t>
      </w:r>
    </w:p>
    <w:p w14:paraId="210C0A4B" w14:textId="43BBE425" w:rsidR="00085B26" w:rsidRDefault="00000000" w:rsidP="00070A47">
      <w:pPr>
        <w:spacing w:after="120"/>
        <w:jc w:val="both"/>
        <w:rPr>
          <w:b/>
          <w:bCs/>
        </w:rPr>
      </w:pPr>
      <w:r>
        <w:rPr>
          <w:b/>
          <w:bCs/>
        </w:rPr>
        <w:t>Este é o argumento central para a defesa do modelo: a Justiça</w:t>
      </w:r>
      <w:r w:rsidR="00071943">
        <w:rPr>
          <w:b/>
          <w:bCs/>
        </w:rPr>
        <w:t xml:space="preserve"> </w:t>
      </w:r>
      <w:r>
        <w:rPr>
          <w:b/>
          <w:bCs/>
        </w:rPr>
        <w:t>e a via administrativa tendem a acolher o valor do contribuinte porque o venal de avaliação em massa, mesmo calibrado na média, carece de precisão individual (COD de 25 a 42 nos apartamentos fora das impugnações). O modelo aprovado entrega exatamente essa precisão individual — com memória de cálculo (SHAP), intervalo de confiança e validação normativa —, sendo o instrumento técnico apropriado para sustentar o lançamento tanto no estoque atual de impugnações quanto nas futuras, via integração por API.</w:t>
      </w:r>
    </w:p>
    <w:p w14:paraId="5228253E" w14:textId="77777777" w:rsidR="00070A47" w:rsidRDefault="00070A47" w:rsidP="00070A47">
      <w:pPr>
        <w:spacing w:after="120"/>
        <w:jc w:val="both"/>
      </w:pPr>
    </w:p>
    <w:p w14:paraId="65F39C63" w14:textId="77777777" w:rsidR="00085B26" w:rsidRDefault="00000000">
      <w:pPr>
        <w:pStyle w:val="Ttulo1"/>
      </w:pPr>
      <w:r>
        <w:t>4. Indicadores de Validação do Modelo em Produção</w:t>
      </w:r>
    </w:p>
    <w:p w14:paraId="4DC36432" w14:textId="77777777" w:rsidR="00085B26" w:rsidRDefault="00000000" w:rsidP="00070A47">
      <w:pPr>
        <w:spacing w:after="120"/>
        <w:jc w:val="both"/>
      </w:pPr>
      <w:r>
        <w:t>Aplicação do modelo LightGBM aprovado (Etapa 4/5) sobre a totalidade das transações de Apartamento disponíveis, comparando a estimativa do modelo com o valor da transação atualizado pelo IPCA (mesma fórmula do treino), com ajuste por fração transmitida e tolerância de ±15% (meta normativa de COD ≤ 15%, IAAO/IBAPE). Gerados dois conjuntos de planilhas de status, detalhados a seguir.</w:t>
      </w:r>
    </w:p>
    <w:p w14:paraId="7E1FA240" w14:textId="77777777" w:rsidR="00070A47" w:rsidRDefault="00070A47" w:rsidP="00070A47">
      <w:pPr>
        <w:spacing w:after="120"/>
        <w:jc w:val="both"/>
      </w:pPr>
    </w:p>
    <w:p w14:paraId="0D8ED10F" w14:textId="77777777" w:rsidR="00070A47" w:rsidRDefault="00070A47" w:rsidP="00070A47">
      <w:pPr>
        <w:spacing w:after="120"/>
        <w:jc w:val="both"/>
      </w:pPr>
    </w:p>
    <w:p w14:paraId="5BE7B106" w14:textId="77777777" w:rsidR="00085B26" w:rsidRDefault="00000000">
      <w:pPr>
        <w:pStyle w:val="Ttulo2"/>
      </w:pPr>
      <w:r>
        <w:lastRenderedPageBreak/>
        <w:t>4.1 Base completa (Informações ITIV 20260610 - Status Apartamentos.xlsx)</w:t>
      </w:r>
    </w:p>
    <w:p w14:paraId="627F0B5E" w14:textId="77777777" w:rsidR="00085B26" w:rsidRDefault="00000000" w:rsidP="00070A47">
      <w:pPr>
        <w:spacing w:after="120"/>
        <w:jc w:val="both"/>
      </w:pPr>
      <w:r>
        <w:t>114.341 transações de Apartamento (todas as tipologias da base bruta, filtradas para Apartamento):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400"/>
        <w:gridCol w:w="1600"/>
      </w:tblGrid>
      <w:tr w:rsidR="00085B26" w14:paraId="319870AA" w14:textId="77777777" w:rsidTr="00070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40D55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5D34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Quantidade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4803D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085B26" w14:paraId="1CAF6D05" w14:textId="77777777" w:rsidTr="00070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6EEB1" w14:textId="77777777" w:rsidR="00085B26" w:rsidRDefault="00000000">
            <w:r>
              <w:rPr>
                <w:sz w:val="19"/>
                <w:szCs w:val="19"/>
              </w:rPr>
              <w:t>Compatível (±15%)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FDA56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59.803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7ED81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52,3%</w:t>
            </w:r>
          </w:p>
        </w:tc>
      </w:tr>
      <w:tr w:rsidR="00085B26" w14:paraId="29F68A9D" w14:textId="77777777" w:rsidTr="00070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615BC" w14:textId="77777777" w:rsidR="00085B26" w:rsidRDefault="00000000">
            <w:r>
              <w:rPr>
                <w:sz w:val="19"/>
                <w:szCs w:val="19"/>
              </w:rPr>
              <w:t>Necessidade Avaliação por Auditor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C9A9F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22.534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4B0FC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19,7%</w:t>
            </w:r>
          </w:p>
        </w:tc>
      </w:tr>
      <w:tr w:rsidR="00085B26" w14:paraId="462170DF" w14:textId="77777777" w:rsidTr="00070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0856B" w14:textId="77777777" w:rsidR="00085B26" w:rsidRDefault="00000000">
            <w:r>
              <w:rPr>
                <w:sz w:val="19"/>
                <w:szCs w:val="19"/>
              </w:rPr>
              <w:t>Compatível (transação acima do modelo — sem risco)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B58A6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19.541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4BF07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17,1%</w:t>
            </w:r>
          </w:p>
        </w:tc>
      </w:tr>
      <w:tr w:rsidR="00085B26" w14:paraId="7EFBA192" w14:textId="77777777" w:rsidTr="00070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3E246" w14:textId="77777777" w:rsidR="00085B26" w:rsidRDefault="00000000">
            <w:r>
              <w:rPr>
                <w:sz w:val="19"/>
                <w:szCs w:val="19"/>
              </w:rPr>
              <w:t>Valor Suspeito (fora de padrão — provável erro de dado)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C40F1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8.439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42927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7,4%</w:t>
            </w:r>
          </w:p>
        </w:tc>
      </w:tr>
      <w:tr w:rsidR="00085B26" w14:paraId="2B996E40" w14:textId="77777777" w:rsidTr="00070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2472B" w14:textId="77777777" w:rsidR="00085B26" w:rsidRDefault="00000000">
            <w:r>
              <w:rPr>
                <w:sz w:val="19"/>
                <w:szCs w:val="19"/>
              </w:rPr>
              <w:t>Fora de Escopo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0EA1A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4.024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1CB1A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3,5%</w:t>
            </w:r>
          </w:p>
        </w:tc>
      </w:tr>
    </w:tbl>
    <w:p w14:paraId="382763DE" w14:textId="77777777" w:rsidR="00085B26" w:rsidRDefault="00000000">
      <w:pPr>
        <w:pStyle w:val="Ttulo2"/>
      </w:pPr>
      <w:r>
        <w:t>4.2 Planilha do SELAN (ITIV_Base_Consolidada_2025_2026 - Status Apartamentos.xlsx)</w:t>
      </w:r>
    </w:p>
    <w:p w14:paraId="5A2F1496" w14:textId="77777777" w:rsidR="00085B26" w:rsidRDefault="00000000" w:rsidP="00B514E8">
      <w:pPr>
        <w:spacing w:after="120"/>
        <w:jc w:val="both"/>
      </w:pPr>
      <w:r>
        <w:t>Aplicação da mesma metodologia sobre a base consolidada fornecida pelo SELAN (Nosso_Número/VT/VVA, janeiro–maio de 2025 e 2026): 6.428 guias de Apartamento em 2025 e 5.472 em 2026, com ~20% classificadas como "Necessidade Avaliação por Auditor" em ambos os anos.</w:t>
      </w:r>
    </w:p>
    <w:p w14:paraId="5B35AFA2" w14:textId="77777777" w:rsidR="00085B26" w:rsidRDefault="00000000">
      <w:pPr>
        <w:pStyle w:val="Ttulo2"/>
      </w:pPr>
      <w:r>
        <w:t>4.3 Indicadores IAAO (Compra e Venda, excluídos os "Suspeito")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1134"/>
        <w:gridCol w:w="1701"/>
        <w:gridCol w:w="1559"/>
        <w:gridCol w:w="1276"/>
        <w:gridCol w:w="1417"/>
      </w:tblGrid>
      <w:tr w:rsidR="00085B26" w14:paraId="56E2FA76" w14:textId="77777777" w:rsidTr="00B514E8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FBE55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Recorte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58C9C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00C53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Razão mediana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582D9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 mediano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AF9A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PRD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26896" w14:textId="77777777" w:rsidR="00085B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PRB</w:t>
            </w:r>
          </w:p>
        </w:tc>
      </w:tr>
      <w:tr w:rsidR="00085B26" w14:paraId="3E68D407" w14:textId="77777777" w:rsidTr="00B514E8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F7501" w14:textId="77777777" w:rsidR="00085B26" w:rsidRDefault="00000000">
            <w:r>
              <w:rPr>
                <w:sz w:val="19"/>
                <w:szCs w:val="19"/>
              </w:rPr>
              <w:t>Base completa — Total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9608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94.931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0959B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0,995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8604E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10,9%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7A10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1,022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E769A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+0,022</w:t>
            </w:r>
          </w:p>
        </w:tc>
      </w:tr>
      <w:tr w:rsidR="00085B26" w14:paraId="25A83970" w14:textId="77777777" w:rsidTr="00B514E8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AE177" w14:textId="77777777" w:rsidR="00085B26" w:rsidRDefault="00000000">
            <w:r>
              <w:rPr>
                <w:sz w:val="19"/>
                <w:szCs w:val="19"/>
              </w:rPr>
              <w:t>Planilha SELAN — 2025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872AB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4.959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3B4D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1,004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D1762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11,0%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F9CC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1,047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9CFDD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-0,017</w:t>
            </w:r>
          </w:p>
        </w:tc>
      </w:tr>
      <w:tr w:rsidR="00085B26" w14:paraId="634C4EFE" w14:textId="77777777" w:rsidTr="00B514E8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4399" w14:textId="77777777" w:rsidR="00085B26" w:rsidRDefault="00000000">
            <w:r>
              <w:rPr>
                <w:sz w:val="19"/>
                <w:szCs w:val="19"/>
              </w:rPr>
              <w:t>Planilha SELAN — 2026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E0A1E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4.524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E9F3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0,988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A134C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12,0%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34CE9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1,054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A5BB0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-0,022</w:t>
            </w:r>
          </w:p>
        </w:tc>
      </w:tr>
      <w:tr w:rsidR="00085B26" w14:paraId="255B8187" w14:textId="77777777" w:rsidTr="00B514E8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F613C" w14:textId="77777777" w:rsidR="00085B26" w:rsidRDefault="00000000">
            <w:r>
              <w:rPr>
                <w:sz w:val="19"/>
                <w:szCs w:val="19"/>
              </w:rPr>
              <w:t>Planilha SELAN — Total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1F10C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9.483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92051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0,996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9A94B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11,4%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06695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1,051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C2EC8" w14:textId="77777777" w:rsidR="00085B26" w:rsidRDefault="00000000">
            <w:pPr>
              <w:jc w:val="center"/>
            </w:pPr>
            <w:r>
              <w:rPr>
                <w:sz w:val="19"/>
                <w:szCs w:val="19"/>
              </w:rPr>
              <w:t>-0,020</w:t>
            </w:r>
          </w:p>
        </w:tc>
      </w:tr>
      <w:tr w:rsidR="00085B26" w14:paraId="6375083F" w14:textId="77777777" w:rsidTr="00B514E8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4EDD6" w14:textId="77777777" w:rsidR="00085B26" w:rsidRDefault="00000000">
            <w:r>
              <w:rPr>
                <w:b/>
                <w:bCs/>
                <w:sz w:val="19"/>
                <w:szCs w:val="19"/>
              </w:rPr>
              <w:t>Meta IAAO/IBAPE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503C3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DFB39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0,90–1,10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B9A11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≤15%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253BE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0,98–1,03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38A80" w14:textId="77777777" w:rsidR="00085B2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-0,05–0,05</w:t>
            </w:r>
          </w:p>
        </w:tc>
      </w:tr>
    </w:tbl>
    <w:p w14:paraId="1BCA3820" w14:textId="77777777" w:rsidR="00085B26" w:rsidRDefault="00000000" w:rsidP="00B514E8">
      <w:pPr>
        <w:spacing w:after="120"/>
        <w:jc w:val="both"/>
      </w:pPr>
      <w:r>
        <w:rPr>
          <w:i/>
          <w:iCs/>
        </w:rPr>
        <w:t>Leitura: na mediana, o modelo acerta praticamente em cheio o valor real das transações (razão 0,995–0,996), e a dispersão (COD mediano 10,9%–12,0%) permanece dentro da meta normativa de 15% também em dados de produção — não apenas na amostra de teste da Etapa 5. O único indicador fora da faixa de referência é o PRD em 2025/2026 (1,047–1,054, limite 1,03), que isoladamente sugeriria leve regressividade; contudo o PRB — indicador mais robusto para a mesma finalidade — permanece confortavelmente dentro da meta (±0,022, limite ±0,05), o que relativiza essa leitura.</w:t>
      </w:r>
    </w:p>
    <w:p w14:paraId="37D7D1EE" w14:textId="77777777" w:rsidR="00085B26" w:rsidRDefault="00000000">
      <w:pPr>
        <w:pStyle w:val="Ttulo1"/>
      </w:pPr>
      <w:r>
        <w:t>5. Conclusão e Recomendações</w:t>
      </w:r>
    </w:p>
    <w:p w14:paraId="6D9D7B0A" w14:textId="77777777" w:rsidR="00085B26" w:rsidRDefault="00000000" w:rsidP="006408FB">
      <w:pPr>
        <w:pStyle w:val="PargrafodaLista"/>
        <w:numPr>
          <w:ilvl w:val="0"/>
          <w:numId w:val="2"/>
        </w:numPr>
        <w:spacing w:after="80"/>
        <w:jc w:val="both"/>
      </w:pPr>
      <w:r>
        <w:t>O diagnóstico declarado × venal confirma que o venal de apartamentos é, na média, calibrado com o mercado (mediana 97–101%), mas carece de precisão individual (COD 25–42) — exatamente a lacuna que o modelo aprovado preenche.</w:t>
      </w:r>
    </w:p>
    <w:p w14:paraId="4D8617D5" w14:textId="77777777" w:rsidR="00085B26" w:rsidRDefault="00000000" w:rsidP="006408FB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O universo de 3.529 impugnações mostra que o desfecho administrativo tende a acolher o valor do contribuinte (arbitrado = declarado na mediana), com impacto de R$ 3,37 bilhões </w:t>
      </w:r>
      <w:r>
        <w:lastRenderedPageBreak/>
        <w:t>em base de cálculo — argumento central para adoção do modelo como instrumento de defesa técnica do lançamento.</w:t>
      </w:r>
    </w:p>
    <w:p w14:paraId="2C4D211E" w14:textId="77777777" w:rsidR="00085B26" w:rsidRDefault="00000000" w:rsidP="006408FB">
      <w:pPr>
        <w:pStyle w:val="PargrafodaLista"/>
        <w:numPr>
          <w:ilvl w:val="0"/>
          <w:numId w:val="2"/>
        </w:numPr>
        <w:spacing w:after="80"/>
        <w:jc w:val="both"/>
      </w:pPr>
      <w:r>
        <w:t>Em produção, sobre toda a base disponível e sobre a planilha do SELAN, o modelo mantém razão mediana entre 0,988 e 1,004 e COD mediano entre 10,9% e 12,0% — dentro da meta normativa de 15% (IAAO/IBAPE/NBR 14653-2).</w:t>
      </w:r>
    </w:p>
    <w:p w14:paraId="25FC5477" w14:textId="77777777" w:rsidR="00085B26" w:rsidRDefault="00000000" w:rsidP="006408FB">
      <w:pPr>
        <w:pStyle w:val="PargrafodaLista"/>
        <w:numPr>
          <w:ilvl w:val="0"/>
          <w:numId w:val="2"/>
        </w:numPr>
        <w:spacing w:after="80"/>
        <w:jc w:val="both"/>
      </w:pPr>
      <w:r>
        <w:t>Recomenda-se: (1) validação formal destes indicadores pela equipe SELAN; (2) adoção do critério de "Valor Suspeito" (razão fora de 0,5–2,0) como filtro de qualidade de dado, tanto na triagem retroativa quanto na futura integração via API; (3) avaliação de expansão do modelo para as tipologias com maior descalibração do venal (Sala, Terreno), priorizadas pelo volume de impugnações.</w:t>
      </w:r>
    </w:p>
    <w:p w14:paraId="6A8E902D" w14:textId="77777777" w:rsidR="00B44B9C" w:rsidRDefault="00B44B9C" w:rsidP="00B44B9C">
      <w:pPr>
        <w:spacing w:after="80"/>
        <w:jc w:val="both"/>
      </w:pPr>
    </w:p>
    <w:p w14:paraId="13E056E3" w14:textId="397631D5" w:rsidR="00B44B9C" w:rsidRDefault="00B44B9C" w:rsidP="00B44B9C">
      <w:pPr>
        <w:spacing w:after="120"/>
        <w:jc w:val="center"/>
        <w:rPr>
          <w:i/>
          <w:iCs/>
        </w:rPr>
      </w:pPr>
      <w:r>
        <w:rPr>
          <w:i/>
          <w:iCs/>
        </w:rPr>
        <w:t>Salvador, 17 de julho de 2026.</w:t>
      </w:r>
    </w:p>
    <w:p w14:paraId="0C00DD81" w14:textId="77777777" w:rsidR="00B44B9C" w:rsidRDefault="00B44B9C" w:rsidP="00B44B9C">
      <w:pPr>
        <w:spacing w:after="120"/>
        <w:jc w:val="center"/>
        <w:rPr>
          <w:i/>
          <w:iCs/>
        </w:rPr>
      </w:pPr>
    </w:p>
    <w:p w14:paraId="76C6AE41" w14:textId="6F295E29" w:rsidR="00B44B9C" w:rsidRDefault="00B44B9C" w:rsidP="00B44B9C">
      <w:pPr>
        <w:spacing w:after="120"/>
        <w:jc w:val="center"/>
      </w:pPr>
      <w:r>
        <w:rPr>
          <w:i/>
          <w:iCs/>
        </w:rPr>
        <w:t>Coordenadoria de Inteligência Fiscal</w:t>
      </w:r>
    </w:p>
    <w:p w14:paraId="048ED67A" w14:textId="77777777" w:rsidR="00B44B9C" w:rsidRDefault="00B44B9C" w:rsidP="00B44B9C">
      <w:pPr>
        <w:spacing w:after="80"/>
        <w:jc w:val="both"/>
      </w:pPr>
    </w:p>
    <w:sectPr w:rsidR="00B44B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22150"/>
    <w:multiLevelType w:val="hybridMultilevel"/>
    <w:tmpl w:val="5A1C35C8"/>
    <w:lvl w:ilvl="0" w:tplc="9F38B8C8">
      <w:start w:val="1"/>
      <w:numFmt w:val="bullet"/>
      <w:lvlText w:val="●"/>
      <w:lvlJc w:val="left"/>
      <w:pPr>
        <w:ind w:left="720" w:hanging="360"/>
      </w:pPr>
    </w:lvl>
    <w:lvl w:ilvl="1" w:tplc="5DF4C2C2">
      <w:start w:val="1"/>
      <w:numFmt w:val="bullet"/>
      <w:lvlText w:val="○"/>
      <w:lvlJc w:val="left"/>
      <w:pPr>
        <w:ind w:left="1440" w:hanging="360"/>
      </w:pPr>
    </w:lvl>
    <w:lvl w:ilvl="2" w:tplc="2C8EBB3A">
      <w:start w:val="1"/>
      <w:numFmt w:val="bullet"/>
      <w:lvlText w:val="■"/>
      <w:lvlJc w:val="left"/>
      <w:pPr>
        <w:ind w:left="2160" w:hanging="360"/>
      </w:pPr>
    </w:lvl>
    <w:lvl w:ilvl="3" w:tplc="4A2A9D30">
      <w:start w:val="1"/>
      <w:numFmt w:val="bullet"/>
      <w:lvlText w:val="●"/>
      <w:lvlJc w:val="left"/>
      <w:pPr>
        <w:ind w:left="2880" w:hanging="360"/>
      </w:pPr>
    </w:lvl>
    <w:lvl w:ilvl="4" w:tplc="A6F6D06A">
      <w:start w:val="1"/>
      <w:numFmt w:val="bullet"/>
      <w:lvlText w:val="○"/>
      <w:lvlJc w:val="left"/>
      <w:pPr>
        <w:ind w:left="3600" w:hanging="360"/>
      </w:pPr>
    </w:lvl>
    <w:lvl w:ilvl="5" w:tplc="E8905A80">
      <w:start w:val="1"/>
      <w:numFmt w:val="bullet"/>
      <w:lvlText w:val="■"/>
      <w:lvlJc w:val="left"/>
      <w:pPr>
        <w:ind w:left="4320" w:hanging="360"/>
      </w:pPr>
    </w:lvl>
    <w:lvl w:ilvl="6" w:tplc="4FA4C53E">
      <w:start w:val="1"/>
      <w:numFmt w:val="bullet"/>
      <w:lvlText w:val="●"/>
      <w:lvlJc w:val="left"/>
      <w:pPr>
        <w:ind w:left="5040" w:hanging="360"/>
      </w:pPr>
    </w:lvl>
    <w:lvl w:ilvl="7" w:tplc="5D78466C">
      <w:start w:val="1"/>
      <w:numFmt w:val="bullet"/>
      <w:lvlText w:val="●"/>
      <w:lvlJc w:val="left"/>
      <w:pPr>
        <w:ind w:left="5760" w:hanging="360"/>
      </w:pPr>
    </w:lvl>
    <w:lvl w:ilvl="8" w:tplc="2F2615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6119B4"/>
    <w:multiLevelType w:val="hybridMultilevel"/>
    <w:tmpl w:val="856016C4"/>
    <w:lvl w:ilvl="0" w:tplc="B978C670">
      <w:start w:val="1"/>
      <w:numFmt w:val="bullet"/>
      <w:lvlText w:val="•"/>
      <w:lvlJc w:val="left"/>
      <w:pPr>
        <w:ind w:left="400" w:hanging="260"/>
      </w:pPr>
    </w:lvl>
    <w:lvl w:ilvl="1" w:tplc="70E20C9A">
      <w:numFmt w:val="decimal"/>
      <w:lvlText w:val=""/>
      <w:lvlJc w:val="left"/>
    </w:lvl>
    <w:lvl w:ilvl="2" w:tplc="C14E692A">
      <w:numFmt w:val="decimal"/>
      <w:lvlText w:val=""/>
      <w:lvlJc w:val="left"/>
    </w:lvl>
    <w:lvl w:ilvl="3" w:tplc="D29AF85A">
      <w:numFmt w:val="decimal"/>
      <w:lvlText w:val=""/>
      <w:lvlJc w:val="left"/>
    </w:lvl>
    <w:lvl w:ilvl="4" w:tplc="1AF6A2AA">
      <w:numFmt w:val="decimal"/>
      <w:lvlText w:val=""/>
      <w:lvlJc w:val="left"/>
    </w:lvl>
    <w:lvl w:ilvl="5" w:tplc="EB2810A6">
      <w:numFmt w:val="decimal"/>
      <w:lvlText w:val=""/>
      <w:lvlJc w:val="left"/>
    </w:lvl>
    <w:lvl w:ilvl="6" w:tplc="F05EC9E0">
      <w:numFmt w:val="decimal"/>
      <w:lvlText w:val=""/>
      <w:lvlJc w:val="left"/>
    </w:lvl>
    <w:lvl w:ilvl="7" w:tplc="509E556A">
      <w:numFmt w:val="decimal"/>
      <w:lvlText w:val=""/>
      <w:lvlJc w:val="left"/>
    </w:lvl>
    <w:lvl w:ilvl="8" w:tplc="409AC2EE">
      <w:numFmt w:val="decimal"/>
      <w:lvlText w:val=""/>
      <w:lvlJc w:val="left"/>
    </w:lvl>
  </w:abstractNum>
  <w:num w:numId="1" w16cid:durableId="1062371039">
    <w:abstractNumId w:val="0"/>
    <w:lvlOverride w:ilvl="0">
      <w:startOverride w:val="1"/>
    </w:lvlOverride>
  </w:num>
  <w:num w:numId="2" w16cid:durableId="18148282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B26"/>
    <w:rsid w:val="00070A47"/>
    <w:rsid w:val="00071943"/>
    <w:rsid w:val="00085B26"/>
    <w:rsid w:val="003730DF"/>
    <w:rsid w:val="003F40D2"/>
    <w:rsid w:val="0048714D"/>
    <w:rsid w:val="006408FB"/>
    <w:rsid w:val="00B44B9C"/>
    <w:rsid w:val="00B514E8"/>
    <w:rsid w:val="00F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E5B9"/>
  <w15:docId w15:val="{D1574C4A-BF19-430C-8D84-6B47DB08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3A5C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i/>
      <w:iCs/>
      <w:color w:val="1A3A5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3047</Words>
  <Characters>16456</Characters>
  <Application>Microsoft Office Word</Application>
  <DocSecurity>0</DocSecurity>
  <Lines>137</Lines>
  <Paragraphs>38</Paragraphs>
  <ScaleCrop>false</ScaleCrop>
  <Company/>
  <LinksUpToDate>false</LinksUpToDate>
  <CharactersWithSpaces>19465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Sidnei de Oliveira Rafael</cp:lastModifiedBy>
  <cp:revision>10</cp:revision>
  <dcterms:created xsi:type="dcterms:W3CDTF">2026-07-18T03:00:00Z</dcterms:created>
  <dcterms:modified xsi:type="dcterms:W3CDTF">2026-07-18T03:29:00Z</dcterms:modified>
</cp:coreProperties>
</file>