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A2AD" w14:textId="77777777" w:rsidR="00056590" w:rsidRDefault="00056590">
      <w:pPr>
        <w:spacing w:before="1600"/>
      </w:pPr>
    </w:p>
    <w:p w14:paraId="761A8064" w14:textId="77777777" w:rsidR="00056590" w:rsidRDefault="00000000">
      <w:pPr>
        <w:spacing w:after="200"/>
        <w:jc w:val="center"/>
      </w:pPr>
      <w:r>
        <w:rPr>
          <w:b/>
          <w:bCs/>
          <w:color w:val="1A3A5C"/>
          <w:sz w:val="44"/>
          <w:szCs w:val="44"/>
        </w:rPr>
        <w:t>MODELO DE AVALIAÇÃO IMOBILIÁRIA DO ITIV</w:t>
      </w:r>
    </w:p>
    <w:p w14:paraId="71BC6959" w14:textId="77777777" w:rsidR="00056590" w:rsidRDefault="00000000">
      <w:pPr>
        <w:spacing w:after="800"/>
        <w:jc w:val="center"/>
      </w:pPr>
      <w:r>
        <w:rPr>
          <w:color w:val="4A7BA6"/>
          <w:sz w:val="30"/>
          <w:szCs w:val="30"/>
        </w:rPr>
        <w:t>Segmento Apartamentos — LightGBM e Modelo Hedônico</w:t>
      </w:r>
    </w:p>
    <w:p w14:paraId="64226042" w14:textId="77777777" w:rsidR="00056590" w:rsidRDefault="00000000">
      <w:pPr>
        <w:spacing w:after="3200"/>
        <w:jc w:val="center"/>
      </w:pPr>
      <w:r>
        <w:rPr>
          <w:i/>
          <w:iCs/>
          <w:color w:val="555555"/>
          <w:sz w:val="24"/>
          <w:szCs w:val="24"/>
        </w:rPr>
        <w:t>Relatório Técnico</w:t>
      </w:r>
    </w:p>
    <w:p w14:paraId="15D3B798" w14:textId="77777777" w:rsidR="00056590" w:rsidRDefault="00000000">
      <w:pPr>
        <w:jc w:val="center"/>
      </w:pPr>
      <w:r>
        <w:rPr>
          <w:sz w:val="20"/>
          <w:szCs w:val="20"/>
        </w:rPr>
        <w:t>Coordenadoria de Inteligência Fiscal (CIF) — SEFAZ Salvador</w:t>
      </w:r>
    </w:p>
    <w:p w14:paraId="7637001B" w14:textId="77777777" w:rsidR="00056590" w:rsidRDefault="00000000">
      <w:pPr>
        <w:spacing w:after="200"/>
        <w:jc w:val="center"/>
      </w:pPr>
      <w:r>
        <w:rPr>
          <w:sz w:val="20"/>
          <w:szCs w:val="20"/>
        </w:rPr>
        <w:t>Modelo aprovado em 14/07/2026 — aplicação de lote em transmissões de 2025-2026</w:t>
      </w:r>
    </w:p>
    <w:p w14:paraId="370C0D5C" w14:textId="77777777" w:rsidR="00056590" w:rsidRDefault="00000000">
      <w:pPr>
        <w:jc w:val="center"/>
      </w:pPr>
      <w:r>
        <w:rPr>
          <w:sz w:val="20"/>
          <w:szCs w:val="20"/>
        </w:rPr>
        <w:t>Julho de 2026</w:t>
      </w:r>
    </w:p>
    <w:p w14:paraId="64695E82" w14:textId="77777777" w:rsidR="00056590" w:rsidRDefault="00000000">
      <w:r>
        <w:br w:type="page"/>
      </w:r>
    </w:p>
    <w:p w14:paraId="395B8422" w14:textId="77777777" w:rsidR="00056590" w:rsidRDefault="00000000">
      <w:pPr>
        <w:pStyle w:val="Ttulo1"/>
      </w:pPr>
      <w:r>
        <w:lastRenderedPageBreak/>
        <w:t>1. Introdução</w:t>
      </w:r>
    </w:p>
    <w:p w14:paraId="06E8DD34" w14:textId="77777777" w:rsidR="00056590" w:rsidRDefault="00000000">
      <w:pPr>
        <w:spacing w:after="160"/>
        <w:jc w:val="both"/>
      </w:pPr>
      <w:r>
        <w:t>O Imposto sobre a Transmissão Inter Vivos de Bens Imóveis (ITIV) tem como base de cálculo o valor venal de referência (VVA), atualmente obtido por um cadastro de valores imobiliários que não acompanha, de forma automática, a evolução do mercado. Isso gera dois problemas práticos: (i) o Município deixa de arrecadar quando o VVA fica defasado em relação ao valor real de mercado; e (</w:t>
      </w:r>
      <w:proofErr w:type="spellStart"/>
      <w:r>
        <w:t>ii</w:t>
      </w:r>
      <w:proofErr w:type="spellEnd"/>
      <w:r>
        <w:t>) contribuintes impugnam o VVA quando ele está acima do valor de mercado, gerando um estoque relevante de processos administrativos de impugnação na SEFAZ/DRM.</w:t>
      </w:r>
    </w:p>
    <w:p w14:paraId="2E7AC6FE" w14:textId="77777777" w:rsidR="00056590" w:rsidRDefault="00000000">
      <w:pPr>
        <w:spacing w:after="160"/>
        <w:jc w:val="both"/>
      </w:pPr>
      <w:r>
        <w:t>Este relatório documenta o modelo estatístico construído pela Coordenadoria de Inteligência Fiscal (CIF) para estimar o valor de mercado compatível de imóveis do tipo Apartamento a partir de características cadastrais, com o objetivo de servir de subsídio técnico — não de decisão automática — para a análise de transmissões do ITIV, tanto na liberação de valores quanto na instrução de impugnações.</w:t>
      </w:r>
    </w:p>
    <w:p w14:paraId="3730D378" w14:textId="77777777" w:rsidR="00056590" w:rsidRDefault="00000000">
      <w:pPr>
        <w:spacing w:after="160"/>
        <w:jc w:val="both"/>
      </w:pPr>
      <w:r>
        <w:t>O escopo deste relatório é o modelo de Apartamentos, o único segmento com dados suficientes e maturidade metodológica para uso corrente. Casa, Comercial e Terreno permanecem em avaliação assistida, fora do escopo deste documento.</w:t>
      </w:r>
    </w:p>
    <w:p w14:paraId="672D6A39" w14:textId="77777777" w:rsidR="00056590" w:rsidRDefault="00000000">
      <w:pPr>
        <w:pStyle w:val="Ttulo1"/>
      </w:pPr>
      <w:r>
        <w:t>2. Metodologia</w:t>
      </w:r>
    </w:p>
    <w:p w14:paraId="5450FF6C" w14:textId="77777777" w:rsidR="00056590" w:rsidRDefault="00000000">
      <w:pPr>
        <w:pStyle w:val="Ttulo2"/>
      </w:pPr>
      <w:r>
        <w:t>2.1 Abordagem geral</w:t>
      </w:r>
    </w:p>
    <w:p w14:paraId="4263AF98" w14:textId="77777777" w:rsidR="00056590" w:rsidRDefault="00000000">
      <w:pPr>
        <w:spacing w:after="160"/>
        <w:jc w:val="both"/>
      </w:pPr>
      <w:r>
        <w:t>Foram construídos e comparados dois modelos complementares sobre a mesma base de transações reais de compra e venda de apartamentos, registradas no ITIV:</w:t>
      </w:r>
    </w:p>
    <w:p w14:paraId="05544080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Modelo LightGBM — algoritmo de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sobre árvores de decisão, escolhido por seu desempenho superior em validação cruzada (ver seção 2.3); é o modelo de referência para a estimativa de valor.</w:t>
      </w:r>
    </w:p>
    <w:p w14:paraId="0C3B1FA8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Modelo Hedônico (regressão linear/OLS) — modelo estatístico clássico, com fundamentação em testes de significância (t/F), usado como segunda opinião e para dar transparência interpretativa ao resultado do LightGBM.</w:t>
      </w:r>
    </w:p>
    <w:p w14:paraId="533A2980" w14:textId="77777777" w:rsidR="00056590" w:rsidRDefault="00000000">
      <w:pPr>
        <w:spacing w:after="160"/>
        <w:jc w:val="both"/>
      </w:pPr>
      <w:r>
        <w:t>Os dois modelos usam exatamente os mesmos 9 parâmetros de entrada, definidos e aprovados formalmente pela equipe em 09/07/2026 (Lista Final de Parâmetros — Apartamentos):</w:t>
      </w:r>
    </w:p>
    <w:tbl>
      <w:tblPr>
        <w:tblW w:w="96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056590" w14:paraId="460C8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6F98D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64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7F33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56590" w14:paraId="0DAC7C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C738" w14:textId="77777777" w:rsidR="00056590" w:rsidRDefault="00000000">
            <w:r>
              <w:rPr>
                <w:color w:val="222222"/>
                <w:sz w:val="20"/>
                <w:szCs w:val="20"/>
              </w:rPr>
              <w:t>Área privativa (log)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9EC3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Área privativa do imóvel, em escala logarítmica</w:t>
            </w:r>
          </w:p>
        </w:tc>
      </w:tr>
      <w:tr w:rsidR="00056590" w14:paraId="207181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164A" w14:textId="77777777" w:rsidR="00056590" w:rsidRDefault="00000000">
            <w:r>
              <w:rPr>
                <w:color w:val="222222"/>
                <w:sz w:val="20"/>
                <w:szCs w:val="20"/>
              </w:rPr>
              <w:t>Nº de pavimentos</w:t>
            </w:r>
          </w:p>
        </w:tc>
        <w:tc>
          <w:tcPr>
            <w:tcW w:w="6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DBEA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Quantidade de pavimentos do prédio</w:t>
            </w:r>
          </w:p>
        </w:tc>
      </w:tr>
      <w:tr w:rsidR="00056590" w14:paraId="034079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BE92" w14:textId="77777777" w:rsidR="00056590" w:rsidRDefault="00000000">
            <w:r>
              <w:rPr>
                <w:color w:val="222222"/>
                <w:sz w:val="20"/>
                <w:szCs w:val="20"/>
              </w:rPr>
              <w:t>Andar da unidade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CA52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Andar em que a unidade está localizada (0 quando ausente, com sinalizador próprio)</w:t>
            </w:r>
          </w:p>
        </w:tc>
      </w:tr>
      <w:tr w:rsidR="00056590" w14:paraId="57C06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338C2" w14:textId="77777777" w:rsidR="00056590" w:rsidRDefault="00000000">
            <w:r>
              <w:rPr>
                <w:color w:val="222222"/>
                <w:sz w:val="20"/>
                <w:szCs w:val="20"/>
              </w:rPr>
              <w:t>Sinalizador de andar ausente</w:t>
            </w:r>
          </w:p>
        </w:tc>
        <w:tc>
          <w:tcPr>
            <w:tcW w:w="6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418B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Indica quando o andar não constava no cadastro</w:t>
            </w:r>
          </w:p>
        </w:tc>
      </w:tr>
      <w:tr w:rsidR="00056590" w14:paraId="4C52B9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27D1" w14:textId="77777777" w:rsidR="00056590" w:rsidRDefault="00000000">
            <w:r>
              <w:rPr>
                <w:color w:val="222222"/>
                <w:sz w:val="20"/>
                <w:szCs w:val="20"/>
              </w:rPr>
              <w:t>Defasagem temporal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3E1C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Meses entre a venda e a data de referência da correção monetária</w:t>
            </w:r>
          </w:p>
        </w:tc>
      </w:tr>
      <w:tr w:rsidR="00056590" w14:paraId="0768A2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4AD0" w14:textId="77777777" w:rsidR="00056590" w:rsidRDefault="00000000">
            <w:r>
              <w:rPr>
                <w:color w:val="222222"/>
                <w:sz w:val="20"/>
                <w:szCs w:val="20"/>
              </w:rPr>
              <w:t>Coordenadas (X, Y)</w:t>
            </w:r>
          </w:p>
        </w:tc>
        <w:tc>
          <w:tcPr>
            <w:tcW w:w="6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DA97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Localização geográfica do imóvel (UTM)</w:t>
            </w:r>
          </w:p>
        </w:tc>
      </w:tr>
      <w:tr w:rsidR="00056590" w14:paraId="231DC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8C71" w14:textId="77777777" w:rsidR="00056590" w:rsidRDefault="00000000">
            <w:r>
              <w:rPr>
                <w:color w:val="222222"/>
                <w:sz w:val="20"/>
                <w:szCs w:val="20"/>
              </w:rPr>
              <w:t>Setor fiscal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A5F0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Setor fiscal do cadastro municipal</w:t>
            </w:r>
          </w:p>
        </w:tc>
      </w:tr>
      <w:tr w:rsidR="00056590" w14:paraId="327D7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225C" w14:textId="77777777" w:rsidR="00056590" w:rsidRDefault="00000000">
            <w:r>
              <w:rPr>
                <w:color w:val="222222"/>
                <w:sz w:val="20"/>
                <w:szCs w:val="20"/>
              </w:rPr>
              <w:t>Referência de vizinhança (KNN)</w:t>
            </w:r>
          </w:p>
        </w:tc>
        <w:tc>
          <w:tcPr>
            <w:tcW w:w="6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F6E5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Preço por m² médio dos 10 imóveis vendidos mais próximos geograficamente, antes da venda avaliada</w:t>
            </w:r>
          </w:p>
        </w:tc>
      </w:tr>
    </w:tbl>
    <w:p w14:paraId="113EB4C7" w14:textId="77777777" w:rsidR="00056590" w:rsidRDefault="00056590">
      <w:pPr>
        <w:spacing w:after="200"/>
      </w:pPr>
    </w:p>
    <w:p w14:paraId="2DA9E4AD" w14:textId="77777777" w:rsidR="00056590" w:rsidRDefault="00000000">
      <w:pPr>
        <w:pStyle w:val="Ttulo2"/>
      </w:pPr>
      <w:r>
        <w:t>2.2 Por que esses parâmetros — e não outros</w:t>
      </w:r>
    </w:p>
    <w:p w14:paraId="69B68508" w14:textId="77777777" w:rsidR="00056590" w:rsidRDefault="00000000">
      <w:pPr>
        <w:spacing w:after="160"/>
        <w:jc w:val="both"/>
      </w:pPr>
      <w:r>
        <w:t>A lista de parâmetros foi definida excluindo variáveis redundantes ou circulares com o próprio valor venal atual:</w:t>
      </w:r>
    </w:p>
    <w:p w14:paraId="1A1A68FD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lastRenderedPageBreak/>
        <w:t>Área construída / área construída da unidade: redundantes com a área privativa já utilizada.</w:t>
      </w:r>
    </w:p>
    <w:p w14:paraId="023A66AA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Fatores VLFC* (fator de correção do terreno/construção): circulares — são insumos do próprio cálculo do valor venal atual, então usá-los enviesaria o modelo em favor do venal.</w:t>
      </w:r>
    </w:p>
    <w:p w14:paraId="15813671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Idade do imóvel: não há dado confiável e sistemático de idade no cadastro disponível; ficou de fora por ausência de informação, não por decisão metodológica.</w:t>
      </w:r>
    </w:p>
    <w:p w14:paraId="191246C0" w14:textId="77777777" w:rsidR="00056590" w:rsidRDefault="00000000">
      <w:pPr>
        <w:spacing w:after="160"/>
        <w:jc w:val="both"/>
      </w:pPr>
      <w:r>
        <w:t>O parâmetro "referência de vizinhança" (KNN_PROXY) merece destaque: para cada imóvel avaliado, calcula-se a média do preço por m² dos 10 imóveis geograficamente mais próximos que já foram vendidos antes dele — nunca usando o próprio imóvel como vizinho de si mesmo (cálculo causal). Isso captura o efeito de localização de forma mais fina do que o setor fiscal isoladamente.</w:t>
      </w:r>
    </w:p>
    <w:p w14:paraId="6D30F8FB" w14:textId="77777777" w:rsidR="00056590" w:rsidRDefault="00000000">
      <w:pPr>
        <w:pStyle w:val="Ttulo2"/>
      </w:pPr>
      <w:r>
        <w:t>2.3 Escolha do algoritmo (</w:t>
      </w:r>
      <w:proofErr w:type="spellStart"/>
      <w:r>
        <w:t>GridSearch</w:t>
      </w:r>
      <w:proofErr w:type="spellEnd"/>
      <w:r>
        <w:t>)</w:t>
      </w:r>
    </w:p>
    <w:p w14:paraId="0ACCAF18" w14:textId="77777777" w:rsidR="00056590" w:rsidRDefault="00000000">
      <w:pPr>
        <w:spacing w:after="160"/>
        <w:jc w:val="both"/>
      </w:pPr>
      <w:r>
        <w:t>Cinco famílias de modelo foram treinadas e comparadas por validação cruzada com 10 blocos (10-fold), usando o erro médio absoluto em escala logarítmica como critério de escolha:</w:t>
      </w:r>
    </w:p>
    <w:p w14:paraId="6965F393" w14:textId="77777777" w:rsidR="0005659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521BE71" wp14:editId="4A93BBA2">
            <wp:extent cx="5524500" cy="3105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2FAA" w14:textId="77777777" w:rsidR="00056590" w:rsidRDefault="00000000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Gráfico 1 — Comparação entre as 5 famílias de modelo testadas (quanto menor o erro, melhor).</w:t>
      </w:r>
    </w:p>
    <w:p w14:paraId="77B73764" w14:textId="77777777" w:rsidR="00056590" w:rsidRDefault="00000000">
      <w:pPr>
        <w:spacing w:after="160"/>
        <w:jc w:val="both"/>
      </w:pPr>
      <w:r>
        <w:t>O LightGBM apresentou o menor erro entre as cinco famílias testadas e foi o modelo escolhido para produção.</w:t>
      </w:r>
    </w:p>
    <w:p w14:paraId="4AD4DEBB" w14:textId="77777777" w:rsidR="00056590" w:rsidRDefault="00000000">
      <w:pPr>
        <w:pStyle w:val="Ttulo2"/>
      </w:pPr>
      <w:r>
        <w:t>2.4 Validação normativa (Etapa 5)</w:t>
      </w:r>
    </w:p>
    <w:p w14:paraId="637178E2" w14:textId="77777777" w:rsidR="00056590" w:rsidRDefault="00000000">
      <w:pPr>
        <w:spacing w:after="160"/>
        <w:jc w:val="both"/>
      </w:pPr>
      <w:r>
        <w:t>O modelo escolhido foi avaliado com as métricas de padrão internacional definidas pela IAAO (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Assessing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>) — usadas também pela NBR 14653-2 como parâmetro objetivo de qualidade de avaliação em massa:</w:t>
      </w:r>
    </w:p>
    <w:p w14:paraId="133764D9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Razão mediana — quociente entre o valor estimado e o valor real de venda; a meta é ficar entre 0,98 e 1,03 (nem subavaliar, nem superavaliar sistematicamente).</w:t>
      </w:r>
    </w:p>
    <w:p w14:paraId="4F249E24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COD (Coeficiente de Dispersão) — mede a dispersão dos erros de avaliação em torno da mediana; a meta para imóveis residenciais é COD ≤ 15%.</w:t>
      </w:r>
    </w:p>
    <w:p w14:paraId="4AD3A597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PRD (</w:t>
      </w:r>
      <w:proofErr w:type="spellStart"/>
      <w:r>
        <w:t>Price-Related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>) — detecta se o modelo trata diferente imóveis baratos e caros (regressividade/progressividade); a meta é entre 0,98 e 1,03.</w:t>
      </w:r>
    </w:p>
    <w:p w14:paraId="34847BE1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PRB (</w:t>
      </w:r>
      <w:proofErr w:type="spellStart"/>
      <w:r>
        <w:t>Price-Related</w:t>
      </w:r>
      <w:proofErr w:type="spellEnd"/>
      <w:r>
        <w:t xml:space="preserve"> Bias) — outro indicador de viés relacionado ao preço, com meta entre -0,05 e 0,05.</w:t>
      </w:r>
    </w:p>
    <w:p w14:paraId="59914166" w14:textId="77777777" w:rsidR="00056590" w:rsidRDefault="00000000">
      <w:pPr>
        <w:spacing w:after="160"/>
        <w:jc w:val="both"/>
      </w:pPr>
      <w:r>
        <w:lastRenderedPageBreak/>
        <w:t>Essas métricas foram calculadas sobre um conjunto de teste (</w:t>
      </w:r>
      <w:proofErr w:type="spellStart"/>
      <w:r>
        <w:t>holdout</w:t>
      </w:r>
      <w:proofErr w:type="spellEnd"/>
      <w:r>
        <w:t>) de 9.276 transações reais, separadas antes do treino e nunca usadas para ajustar o modelo — ou seja, simulam o desempenho em transações futuras, ainda não vistas.</w:t>
      </w:r>
    </w:p>
    <w:p w14:paraId="3486DE04" w14:textId="77777777" w:rsidR="0005659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09213BD" wp14:editId="1F0C03FE">
            <wp:extent cx="4572000" cy="2943225"/>
            <wp:effectExtent l="0" t="0" r="0" b="0"/>
            <wp:docPr id="1423789756" name="Imagem 1423789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11E0" w14:textId="77777777" w:rsidR="00056590" w:rsidRDefault="00000000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Gráfico 2 — Dispersão (COD) no conjunto de teste: quanto menor, mais preciso.</w:t>
      </w:r>
    </w:p>
    <w:p w14:paraId="5EBA90B8" w14:textId="77777777" w:rsidR="0005659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B01E1F2" wp14:editId="0245BD03">
            <wp:extent cx="4572000" cy="2943225"/>
            <wp:effectExtent l="0" t="0" r="0" b="0"/>
            <wp:docPr id="612075673" name="Imagem 612075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D496" w14:textId="77777777" w:rsidR="00056590" w:rsidRDefault="00000000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Gráfico 3 — Razão mediana no conjunto de teste: quanto mais perto de 1,0, mais exato.</w:t>
      </w:r>
    </w:p>
    <w:tbl>
      <w:tblPr>
        <w:tblW w:w="11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0"/>
        <w:gridCol w:w="2100"/>
        <w:gridCol w:w="2100"/>
        <w:gridCol w:w="2300"/>
      </w:tblGrid>
      <w:tr w:rsidR="00056590" w14:paraId="4C981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4DFF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1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D866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Venal (atual)</w:t>
            </w:r>
          </w:p>
        </w:tc>
        <w:tc>
          <w:tcPr>
            <w:tcW w:w="21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93B3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Hedônico</w:t>
            </w:r>
          </w:p>
        </w:tc>
        <w:tc>
          <w:tcPr>
            <w:tcW w:w="21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2147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LightGBM</w:t>
            </w:r>
          </w:p>
        </w:tc>
        <w:tc>
          <w:tcPr>
            <w:tcW w:w="23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862B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IAAO</w:t>
            </w:r>
          </w:p>
        </w:tc>
      </w:tr>
      <w:tr w:rsidR="00056590" w14:paraId="69674F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233C" w14:textId="77777777" w:rsidR="00056590" w:rsidRDefault="00000000">
            <w:r>
              <w:rPr>
                <w:color w:val="222222"/>
                <w:sz w:val="20"/>
                <w:szCs w:val="20"/>
              </w:rPr>
              <w:t>Razão mediana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6FFE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0,851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29C8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0,987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C013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0,999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75F6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0,98 – 1,03</w:t>
            </w:r>
          </w:p>
        </w:tc>
      </w:tr>
      <w:tr w:rsidR="00056590" w14:paraId="62E94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B35A" w14:textId="77777777" w:rsidR="00056590" w:rsidRDefault="00000000">
            <w:r>
              <w:rPr>
                <w:color w:val="222222"/>
                <w:sz w:val="20"/>
                <w:szCs w:val="20"/>
              </w:rPr>
              <w:t>COD (%)</w:t>
            </w:r>
          </w:p>
        </w:tc>
        <w:tc>
          <w:tcPr>
            <w:tcW w:w="21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6208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13,9%</w:t>
            </w:r>
          </w:p>
        </w:tc>
        <w:tc>
          <w:tcPr>
            <w:tcW w:w="21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9AAE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18,5%</w:t>
            </w:r>
          </w:p>
        </w:tc>
        <w:tc>
          <w:tcPr>
            <w:tcW w:w="21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F3E1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9,6%</w:t>
            </w:r>
          </w:p>
        </w:tc>
        <w:tc>
          <w:tcPr>
            <w:tcW w:w="23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E370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≤ 15%</w:t>
            </w:r>
          </w:p>
        </w:tc>
      </w:tr>
      <w:tr w:rsidR="00056590" w14:paraId="478DD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D74D" w14:textId="77777777" w:rsidR="00056590" w:rsidRDefault="00000000">
            <w:r>
              <w:rPr>
                <w:color w:val="222222"/>
                <w:sz w:val="20"/>
                <w:szCs w:val="20"/>
              </w:rPr>
              <w:t>PRD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63C3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1,005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11EC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1,054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5BA8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1,017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1C77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0,98 – 1,03</w:t>
            </w:r>
          </w:p>
        </w:tc>
      </w:tr>
      <w:tr w:rsidR="00056590" w14:paraId="528FF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C258" w14:textId="77777777" w:rsidR="00056590" w:rsidRDefault="00000000">
            <w:r>
              <w:rPr>
                <w:color w:val="222222"/>
                <w:sz w:val="20"/>
                <w:szCs w:val="20"/>
              </w:rPr>
              <w:t>PRB</w:t>
            </w:r>
          </w:p>
        </w:tc>
        <w:tc>
          <w:tcPr>
            <w:tcW w:w="21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72CD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+0,024</w:t>
            </w:r>
          </w:p>
        </w:tc>
        <w:tc>
          <w:tcPr>
            <w:tcW w:w="21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EB3A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+0,004</w:t>
            </w:r>
          </w:p>
        </w:tc>
        <w:tc>
          <w:tcPr>
            <w:tcW w:w="21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F839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-0,009</w:t>
            </w:r>
          </w:p>
        </w:tc>
        <w:tc>
          <w:tcPr>
            <w:tcW w:w="23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68C4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-0,05 – 0,05</w:t>
            </w:r>
          </w:p>
        </w:tc>
      </w:tr>
    </w:tbl>
    <w:p w14:paraId="78907FA8" w14:textId="77777777" w:rsidR="00056590" w:rsidRDefault="00000000" w:rsidP="00F53CC9">
      <w:pPr>
        <w:spacing w:after="260"/>
        <w:jc w:val="both"/>
        <w:rPr>
          <w:i/>
          <w:iCs/>
          <w:color w:val="555555"/>
          <w:sz w:val="18"/>
          <w:szCs w:val="18"/>
        </w:rPr>
      </w:pPr>
      <w:r>
        <w:t>Fonte: Etapa 5 — Validação Normativa, conjunto de teste de 9.276 transações (</w:t>
      </w:r>
      <w:proofErr w:type="spellStart"/>
      <w:r>
        <w:t>holdout</w:t>
      </w:r>
      <w:proofErr w:type="spellEnd"/>
      <w:proofErr w:type="gramStart"/>
      <w:r>
        <w:t>).</w:t>
      </w:r>
      <w:r>
        <w:rPr>
          <w:i/>
          <w:iCs/>
          <w:color w:val="555555"/>
          <w:sz w:val="18"/>
          <w:szCs w:val="18"/>
        </w:rPr>
        <w:t>Fonte</w:t>
      </w:r>
      <w:proofErr w:type="gramEnd"/>
      <w:r>
        <w:rPr>
          <w:i/>
          <w:iCs/>
          <w:color w:val="555555"/>
          <w:sz w:val="18"/>
          <w:szCs w:val="18"/>
        </w:rPr>
        <w:t>: Etapa 5 — Validação Normativa, conjunto de teste de 9.276 transações (</w:t>
      </w:r>
      <w:proofErr w:type="spellStart"/>
      <w:r>
        <w:rPr>
          <w:i/>
          <w:iCs/>
          <w:color w:val="555555"/>
          <w:sz w:val="18"/>
          <w:szCs w:val="18"/>
        </w:rPr>
        <w:t>holdout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006D200D" w14:textId="77777777" w:rsidR="00F53CC9" w:rsidRDefault="00F53CC9" w:rsidP="00F53CC9">
      <w:pPr>
        <w:spacing w:after="260"/>
        <w:jc w:val="both"/>
      </w:pPr>
    </w:p>
    <w:p w14:paraId="5A7E54CE" w14:textId="77777777" w:rsidR="00056590" w:rsidRDefault="00000000">
      <w:pPr>
        <w:spacing w:after="160"/>
        <w:jc w:val="both"/>
      </w:pPr>
      <w:r>
        <w:lastRenderedPageBreak/>
        <w:t>O LightGBM atendeu a todas as quatro metas normativas simultaneamente. O valor venal atual, no mesmo conjunto de teste, não atinge a meta de COD (13,9% &gt; a referência de comparação do próprio venal já filtrado — ver ressalva abaixo) e tem razão mediana de apenas 0,851, ou seja, o venal atual está sistematicamente abaixo do valor real de venda nessa amostra.</w:t>
      </w:r>
    </w:p>
    <w:p w14:paraId="3B883795" w14:textId="77777777" w:rsidR="00056590" w:rsidRDefault="00000000">
      <w:pPr>
        <w:spacing w:after="160"/>
        <w:jc w:val="both"/>
      </w:pPr>
      <w:r>
        <w:rPr>
          <w:b/>
          <w:bCs/>
          <w:i/>
          <w:iCs/>
          <w:sz w:val="20"/>
          <w:szCs w:val="20"/>
        </w:rPr>
        <w:t xml:space="preserve">Ressalva metodológica: </w:t>
      </w:r>
      <w:r>
        <w:rPr>
          <w:i/>
          <w:iCs/>
          <w:sz w:val="20"/>
          <w:szCs w:val="20"/>
        </w:rPr>
        <w:t>a base de treino/teste foi filtrada (decisão da equipe de 14/07/2026) para transações com desvio de até ±30% entre valor de transação e valor venal corrigido, de forma a remover ruído extremo do treino. Essa mesma restrição limita a dispersão das razões do valor venal nesta comparação específica — os números do venal nesta tabela não são diretamente comparáveis aos números do venal calculados sobre a base completa (sem filtro), que aparecem na seção de Resultados.</w:t>
      </w:r>
    </w:p>
    <w:p w14:paraId="73C91350" w14:textId="77777777" w:rsidR="00056590" w:rsidRDefault="00000000">
      <w:pPr>
        <w:pStyle w:val="Ttulo1"/>
      </w:pPr>
      <w:r>
        <w:t>3. Dados</w:t>
      </w:r>
    </w:p>
    <w:p w14:paraId="03F6C925" w14:textId="77777777" w:rsidR="00056590" w:rsidRDefault="00000000">
      <w:pPr>
        <w:pStyle w:val="Ttulo2"/>
      </w:pPr>
      <w:r>
        <w:t>3.1 Base de treino e validação</w:t>
      </w:r>
    </w:p>
    <w:p w14:paraId="2D8F4544" w14:textId="77777777" w:rsidR="00056590" w:rsidRDefault="00000000">
      <w:pPr>
        <w:spacing w:after="160"/>
        <w:jc w:val="both"/>
      </w:pPr>
      <w:r>
        <w:t>O modelo foi treinado sobre a base de transações do ITIV já limpa e tratada nas Etapas 1 a 3 do projeto (deduplicação, tratamento de valores ausentes, correção monetária pelo IPCA/IBGE via série 433 do SGS/Banco Central, e filtro de plausibilidade de ±30% em relação ao valor venal corrigido). O conjunto foi dividido em:</w:t>
      </w:r>
    </w:p>
    <w:p w14:paraId="6C611DB6" w14:textId="77777777" w:rsidR="00056590" w:rsidRDefault="00000000">
      <w:pPr>
        <w:pStyle w:val="PargrafodaLista"/>
        <w:numPr>
          <w:ilvl w:val="0"/>
          <w:numId w:val="1"/>
        </w:numPr>
        <w:spacing w:after="80"/>
      </w:pPr>
      <w:r>
        <w:t>Pool de treino/validação cruzada: 37.116 transações de apartamento.</w:t>
      </w:r>
    </w:p>
    <w:p w14:paraId="64BDD16A" w14:textId="77777777" w:rsidR="00056590" w:rsidRDefault="00000000">
      <w:pPr>
        <w:pStyle w:val="PargrafodaLista"/>
        <w:numPr>
          <w:ilvl w:val="0"/>
          <w:numId w:val="1"/>
        </w:numPr>
        <w:spacing w:after="80"/>
      </w:pPr>
      <w:r>
        <w:t>Conjunto de teste (</w:t>
      </w:r>
      <w:proofErr w:type="spellStart"/>
      <w:r>
        <w:t>holdout</w:t>
      </w:r>
      <w:proofErr w:type="spellEnd"/>
      <w:r>
        <w:t>): 9.276 transações, reservadas e nunca usadas no ajuste do modelo.</w:t>
      </w:r>
    </w:p>
    <w:p w14:paraId="6117CAEA" w14:textId="77777777" w:rsidR="00056590" w:rsidRDefault="00000000">
      <w:pPr>
        <w:spacing w:after="160"/>
        <w:jc w:val="both"/>
      </w:pPr>
      <w:r>
        <w:t xml:space="preserve">A integridade dos arquivos de dados e código usados no treino foi registrada por </w:t>
      </w:r>
      <w:proofErr w:type="spellStart"/>
      <w:r>
        <w:t>hash</w:t>
      </w:r>
      <w:proofErr w:type="spellEnd"/>
      <w:r>
        <w:t xml:space="preserve"> SHA-256 em manifesto técnico (</w:t>
      </w:r>
      <w:proofErr w:type="spellStart"/>
      <w:r>
        <w:t>manifesto_</w:t>
      </w:r>
      <w:proofErr w:type="gramStart"/>
      <w:r>
        <w:t>treino.json</w:t>
      </w:r>
      <w:proofErr w:type="spellEnd"/>
      <w:proofErr w:type="gramEnd"/>
      <w:r>
        <w:t>), permitindo comprovar, a qualquer momento, que os dados e o código do treino não foram alterados.</w:t>
      </w:r>
    </w:p>
    <w:p w14:paraId="68D05310" w14:textId="77777777" w:rsidR="00056590" w:rsidRDefault="00000000">
      <w:pPr>
        <w:pStyle w:val="Ttulo2"/>
      </w:pPr>
      <w:r>
        <w:t>3.2 Base de aplicação (lote de 2025-2026)</w:t>
      </w:r>
    </w:p>
    <w:p w14:paraId="1B0F87C6" w14:textId="77777777" w:rsidR="00056590" w:rsidRDefault="00000000">
      <w:pPr>
        <w:spacing w:after="160"/>
        <w:jc w:val="both"/>
      </w:pPr>
      <w:r>
        <w:t>Para este relatório, o modelo aprovado foi aplicado sobre a planilha "ITIV_Base_Consolidada_2025_2026", fornecida pela SELAN/SEFAZ com o diagnóstico de arrecadação de janeiro a maio de 2025 e 2026. Dessa planilha:</w:t>
      </w:r>
    </w:p>
    <w:p w14:paraId="3DD86D2E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19.693 guias de ITIV (</w:t>
      </w:r>
      <w:proofErr w:type="spellStart"/>
      <w:r>
        <w:t>Nosso_Número</w:t>
      </w:r>
      <w:proofErr w:type="spellEnd"/>
      <w:r>
        <w:t>) foram identificadas nas duas abas de dados (2025 + 2026).</w:t>
      </w:r>
    </w:p>
    <w:p w14:paraId="32E144AB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14.847 guias foram localizadas na base de transações do ITIV pelo número da transmissão (SQTRANSMISSAO), permitindo obter setor fiscal, área privativa, andar e coordenadas — dados necessários ao modelo, e que não constam na planilha consolidada.</w:t>
      </w:r>
    </w:p>
    <w:p w14:paraId="07142E7D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11.886 guias correspondem a imóveis do tipo Apartamento com área privativa válida — único segmento coberto pelo modelo, e a base de todos os resultados a seguir.</w:t>
      </w:r>
    </w:p>
    <w:p w14:paraId="2C482723" w14:textId="77777777" w:rsidR="00056590" w:rsidRDefault="00000000">
      <w:pPr>
        <w:spacing w:after="160"/>
        <w:jc w:val="both"/>
      </w:pPr>
      <w:r>
        <w:t>Não foi utilizado nenhum dado de anúncio (Zap/VivaReal/OLX) nesta avaliação — apenas transações reais de compra e venda registradas no ITIV.</w:t>
      </w:r>
    </w:p>
    <w:p w14:paraId="0397A4D7" w14:textId="77777777" w:rsidR="00F53CC9" w:rsidRDefault="00F53CC9">
      <w:pPr>
        <w:spacing w:after="160"/>
        <w:jc w:val="both"/>
      </w:pPr>
    </w:p>
    <w:p w14:paraId="67122641" w14:textId="77777777" w:rsidR="00056590" w:rsidRDefault="00000000">
      <w:pPr>
        <w:pStyle w:val="Ttulo1"/>
      </w:pPr>
      <w:r>
        <w:t>4. Resultados — Lote consolidado 2025-2026 (11.886 apartamentos)</w:t>
      </w:r>
    </w:p>
    <w:p w14:paraId="3E5282D3" w14:textId="77777777" w:rsidR="00056590" w:rsidRDefault="00000000">
      <w:pPr>
        <w:spacing w:after="160"/>
        <w:jc w:val="both"/>
      </w:pPr>
      <w:r>
        <w:t>Esta seção descreve o resultado da aplicação do modelo sobre o lote de 2025-2026, comparando o valor declarado nas transmissões, o valor venal corrigido e as estimativas dos dois modelos (LightGBM e hedônica).</w:t>
      </w:r>
    </w:p>
    <w:p w14:paraId="6030FD07" w14:textId="77777777" w:rsidR="00F53CC9" w:rsidRDefault="00F53CC9">
      <w:pPr>
        <w:spacing w:after="160"/>
        <w:jc w:val="both"/>
      </w:pPr>
    </w:p>
    <w:p w14:paraId="78CCF7BF" w14:textId="77777777" w:rsidR="00F53CC9" w:rsidRDefault="00F53CC9">
      <w:pPr>
        <w:spacing w:after="160"/>
        <w:jc w:val="both"/>
      </w:pPr>
    </w:p>
    <w:p w14:paraId="1981777D" w14:textId="77777777" w:rsidR="00F53CC9" w:rsidRDefault="00F53CC9">
      <w:pPr>
        <w:spacing w:after="160"/>
        <w:jc w:val="both"/>
      </w:pPr>
    </w:p>
    <w:p w14:paraId="7E71B21D" w14:textId="77777777" w:rsidR="00056590" w:rsidRDefault="00000000">
      <w:pPr>
        <w:pStyle w:val="Ttulo2"/>
      </w:pPr>
      <w:r>
        <w:lastRenderedPageBreak/>
        <w:t>4.1 Valores medianos</w:t>
      </w:r>
    </w:p>
    <w:p w14:paraId="6ACAFE17" w14:textId="77777777" w:rsidR="0005659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870C321" wp14:editId="28FA94D2">
            <wp:extent cx="4572000" cy="2924175"/>
            <wp:effectExtent l="0" t="0" r="0" b="0"/>
            <wp:docPr id="334478038" name="Imagem 33447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A66E" w14:textId="77777777" w:rsidR="00056590" w:rsidRDefault="00000000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Gráfico 4 — Valores medianos do lote: declarado, venal, e as duas estimativas do modelo.</w:t>
      </w:r>
    </w:p>
    <w:p w14:paraId="173776FF" w14:textId="77777777" w:rsidR="00056590" w:rsidRDefault="00000000">
      <w:pPr>
        <w:spacing w:after="160"/>
        <w:jc w:val="both"/>
      </w:pPr>
      <w:r>
        <w:t>Na mediana do lote, o valor declarado corrigido (R$ 340.000) e o valor venal corrigido (R$ 343.428) estão muito próximos um do outro — reflexo de o valor venal, hoje, funcionar como piso mínimo de tributação em boa parte das transações (ver seção 3 das notas metodológicas da planilha original: quando o valor pago é inferior a 99% do VVA, a base tributável passa a ser o próprio VVA). A estimativa do LightGBM (R$ 332.049) e a opinião hedônica (R$ 318.482) ficam no mesmo patamar geral, sem disparidade grosseira entre os quatro valores.</w:t>
      </w:r>
    </w:p>
    <w:p w14:paraId="45DCCE7B" w14:textId="77777777" w:rsidR="00056590" w:rsidRDefault="00000000">
      <w:pPr>
        <w:pStyle w:val="Ttulo2"/>
      </w:pPr>
      <w:r>
        <w:t>4.2 O que está "dentro dos parâmetros": modelo × declarado</w:t>
      </w:r>
    </w:p>
    <w:p w14:paraId="42EA2737" w14:textId="77777777" w:rsidR="00056590" w:rsidRDefault="00000000">
      <w:pPr>
        <w:spacing w:after="160"/>
        <w:jc w:val="both"/>
      </w:pPr>
      <w:r>
        <w:t>Comparando a estimativa do modelo com o valor declarado corrigido, nas 9.745 transmissões em que esse valor está disponível (as demais 2.141 não entraram na tabela de modelagem por terem sido filtradas na limpeza de dados, e 667 guias não tinham valor declarado original na planilha consolidada):</w:t>
      </w:r>
    </w:p>
    <w:p w14:paraId="2BEF3D5A" w14:textId="77777777" w:rsidR="0005659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02BFFE0" wp14:editId="23040812">
            <wp:extent cx="5334000" cy="2962275"/>
            <wp:effectExtent l="0" t="0" r="0" b="0"/>
            <wp:docPr id="831128619" name="Imagem 831128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6D68" w14:textId="77777777" w:rsidR="00056590" w:rsidRDefault="00000000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Gráfico 5 — Distribuição da razão entre a estimativa do modelo e o valor declarado corrigido.</w:t>
      </w:r>
    </w:p>
    <w:tbl>
      <w:tblPr>
        <w:tblW w:w="88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400"/>
      </w:tblGrid>
      <w:tr w:rsidR="00056590" w14:paraId="51EEF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DBBC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Faixa (modelo / declarado)</w:t>
            </w:r>
          </w:p>
        </w:tc>
        <w:tc>
          <w:tcPr>
            <w:tcW w:w="34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BAE7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das transmissões</w:t>
            </w:r>
          </w:p>
        </w:tc>
      </w:tr>
      <w:tr w:rsidR="00056590" w14:paraId="7103777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D51E" w14:textId="77777777" w:rsidR="00056590" w:rsidRDefault="00000000">
            <w:r>
              <w:rPr>
                <w:color w:val="222222"/>
                <w:sz w:val="20"/>
                <w:szCs w:val="20"/>
              </w:rPr>
              <w:t>&lt; 0,5x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CD5E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0,6%</w:t>
            </w:r>
          </w:p>
        </w:tc>
      </w:tr>
      <w:tr w:rsidR="00056590" w14:paraId="165647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4AA0" w14:textId="77777777" w:rsidR="00056590" w:rsidRDefault="00000000">
            <w:r>
              <w:rPr>
                <w:color w:val="222222"/>
                <w:sz w:val="20"/>
                <w:szCs w:val="20"/>
              </w:rPr>
              <w:t>0,5x – 0,8x</w:t>
            </w:r>
          </w:p>
        </w:tc>
        <w:tc>
          <w:tcPr>
            <w:tcW w:w="3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D997D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15,5%</w:t>
            </w:r>
          </w:p>
        </w:tc>
      </w:tr>
      <w:tr w:rsidR="00056590" w14:paraId="4FB961E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9882" w14:textId="77777777" w:rsidR="00056590" w:rsidRDefault="00000000">
            <w:r>
              <w:rPr>
                <w:color w:val="222222"/>
                <w:sz w:val="20"/>
                <w:szCs w:val="20"/>
              </w:rPr>
              <w:t>0,8x – 0,9x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741E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10,9%</w:t>
            </w:r>
          </w:p>
        </w:tc>
      </w:tr>
      <w:tr w:rsidR="00056590" w14:paraId="5D4F2AB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1EA2" w14:textId="77777777" w:rsidR="00056590" w:rsidRDefault="00000000">
            <w:r>
              <w:rPr>
                <w:color w:val="222222"/>
                <w:sz w:val="20"/>
                <w:szCs w:val="20"/>
              </w:rPr>
              <w:t>0,9x – 1,1x (compatível)</w:t>
            </w:r>
          </w:p>
        </w:tc>
        <w:tc>
          <w:tcPr>
            <w:tcW w:w="3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F169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45,0%</w:t>
            </w:r>
          </w:p>
        </w:tc>
      </w:tr>
      <w:tr w:rsidR="00056590" w14:paraId="5202E3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020C" w14:textId="77777777" w:rsidR="00056590" w:rsidRDefault="00000000">
            <w:r>
              <w:rPr>
                <w:color w:val="222222"/>
                <w:sz w:val="20"/>
                <w:szCs w:val="20"/>
              </w:rPr>
              <w:t>1,1x – 1,2x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6B36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10,1%</w:t>
            </w:r>
          </w:p>
        </w:tc>
      </w:tr>
      <w:tr w:rsidR="00056590" w14:paraId="280C08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89D8" w14:textId="77777777" w:rsidR="00056590" w:rsidRDefault="00000000">
            <w:r>
              <w:rPr>
                <w:color w:val="222222"/>
                <w:sz w:val="20"/>
                <w:szCs w:val="20"/>
              </w:rPr>
              <w:t>1,2x – 1,5x</w:t>
            </w:r>
          </w:p>
        </w:tc>
        <w:tc>
          <w:tcPr>
            <w:tcW w:w="3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0267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10,0%</w:t>
            </w:r>
          </w:p>
        </w:tc>
      </w:tr>
      <w:tr w:rsidR="00056590" w14:paraId="32851A4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E377" w14:textId="77777777" w:rsidR="00056590" w:rsidRDefault="00000000">
            <w:r>
              <w:rPr>
                <w:color w:val="222222"/>
                <w:sz w:val="20"/>
                <w:szCs w:val="20"/>
              </w:rPr>
              <w:t>&gt; 1,5x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33EE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7,9%</w:t>
            </w:r>
          </w:p>
        </w:tc>
      </w:tr>
    </w:tbl>
    <w:p w14:paraId="374E40DB" w14:textId="77777777" w:rsidR="00056590" w:rsidRDefault="00056590">
      <w:pPr>
        <w:spacing w:after="200"/>
      </w:pPr>
    </w:p>
    <w:p w14:paraId="501ADF55" w14:textId="77777777" w:rsidR="00056590" w:rsidRDefault="00000000">
      <w:pPr>
        <w:spacing w:after="160"/>
        <w:jc w:val="both"/>
      </w:pPr>
      <w:r>
        <w:t>A razão mediana entre o modelo e o declarado é 0,998 — ou seja, no ponto central da distribuição, o modelo praticamente reproduz o valor efetivamente declarado. 45,0% das transmissões ficam dentro da faixa considerada compatível (±10% do declarado). A dispersão (COD) neste lote é de 20,8% — mais alta do que a medida no conjunto de teste curado da Etapa 5 (9,6%), porque este lote inclui todas as transmissões encontradas, sem o filtro de plausibilidade aplicado no treino. As divergências mais extremas (7,9% acima de 1,5x e 0,6% abaixo de 0,5x) são um grupo relativamente pequeno, mas que merece checagem caso a caso pela equipe — este relatório não atribui causa a essas divergências.</w:t>
      </w:r>
    </w:p>
    <w:p w14:paraId="31F6AE8D" w14:textId="77777777" w:rsidR="0005659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CB67041" wp14:editId="2DFD6606">
            <wp:extent cx="4000500" cy="3600450"/>
            <wp:effectExtent l="0" t="0" r="0" b="0"/>
            <wp:docPr id="2057418590" name="Imagem 2057418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1590" w14:textId="77777777" w:rsidR="00056590" w:rsidRDefault="00000000">
      <w:pPr>
        <w:spacing w:after="2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Gráfico 6 — Dispersão: cada ponto é uma transmissão; quanto mais perto da linha tracejada, mais o modelo concorda com o valor declarado.</w:t>
      </w:r>
    </w:p>
    <w:p w14:paraId="47BC65D3" w14:textId="77777777" w:rsidR="00F53CC9" w:rsidRDefault="00F53CC9">
      <w:pPr>
        <w:spacing w:after="260"/>
        <w:jc w:val="center"/>
        <w:rPr>
          <w:i/>
          <w:iCs/>
          <w:color w:val="555555"/>
          <w:sz w:val="18"/>
          <w:szCs w:val="18"/>
        </w:rPr>
      </w:pPr>
    </w:p>
    <w:p w14:paraId="5B90360B" w14:textId="77777777" w:rsidR="00F53CC9" w:rsidRDefault="00F53CC9">
      <w:pPr>
        <w:spacing w:after="260"/>
        <w:jc w:val="center"/>
        <w:rPr>
          <w:i/>
          <w:iCs/>
          <w:color w:val="555555"/>
          <w:sz w:val="18"/>
          <w:szCs w:val="18"/>
        </w:rPr>
      </w:pPr>
    </w:p>
    <w:p w14:paraId="3EC4D0FF" w14:textId="77777777" w:rsidR="00F53CC9" w:rsidRDefault="00F53CC9">
      <w:pPr>
        <w:spacing w:after="260"/>
        <w:jc w:val="center"/>
        <w:rPr>
          <w:i/>
          <w:iCs/>
          <w:color w:val="555555"/>
          <w:sz w:val="18"/>
          <w:szCs w:val="18"/>
        </w:rPr>
      </w:pPr>
    </w:p>
    <w:p w14:paraId="585F6BC4" w14:textId="77777777" w:rsidR="00F53CC9" w:rsidRDefault="00F53CC9">
      <w:pPr>
        <w:spacing w:after="260"/>
        <w:jc w:val="center"/>
        <w:rPr>
          <w:i/>
          <w:iCs/>
          <w:color w:val="555555"/>
          <w:sz w:val="18"/>
          <w:szCs w:val="18"/>
        </w:rPr>
      </w:pPr>
    </w:p>
    <w:p w14:paraId="68C22449" w14:textId="77777777" w:rsidR="00F53CC9" w:rsidRDefault="00F53CC9">
      <w:pPr>
        <w:spacing w:after="260"/>
        <w:jc w:val="center"/>
      </w:pPr>
    </w:p>
    <w:p w14:paraId="28AF13F3" w14:textId="77777777" w:rsidR="00056590" w:rsidRDefault="00000000">
      <w:pPr>
        <w:pStyle w:val="Ttulo2"/>
      </w:pPr>
      <w:r>
        <w:lastRenderedPageBreak/>
        <w:t>4.3 O que está "dentro dos parâmetros": modelo × valor venal</w:t>
      </w:r>
    </w:p>
    <w:p w14:paraId="5F9D1490" w14:textId="77777777" w:rsidR="00056590" w:rsidRDefault="00000000">
      <w:pPr>
        <w:spacing w:after="160"/>
        <w:jc w:val="both"/>
      </w:pPr>
      <w:r>
        <w:t>Comparando a estimativa do modelo com o valor venal corrigido, nas 11.219 transmissões com venal válido:</w:t>
      </w:r>
    </w:p>
    <w:p w14:paraId="282AB680" w14:textId="77777777" w:rsidR="0005659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D3FCA1F" wp14:editId="4339EE37">
            <wp:extent cx="5334000" cy="3009900"/>
            <wp:effectExtent l="0" t="0" r="0" b="0"/>
            <wp:docPr id="1583306684" name="Imagem 1583306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0C58" w14:textId="77777777" w:rsidR="00056590" w:rsidRDefault="00000000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Gráfico 7 — Defasagem do valor venal em relação à estimativa de mercado do modelo.</w:t>
      </w:r>
    </w:p>
    <w:tbl>
      <w:tblPr>
        <w:tblW w:w="8800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2400"/>
      </w:tblGrid>
      <w:tr w:rsidR="00056590" w14:paraId="19AE3CF1" w14:textId="77777777" w:rsidTr="00F53CC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4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3628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Faixa (modelo / venal corrigido)</w:t>
            </w:r>
          </w:p>
        </w:tc>
        <w:tc>
          <w:tcPr>
            <w:tcW w:w="240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5A1F" w14:textId="77777777" w:rsidR="0005659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das transmissões</w:t>
            </w:r>
          </w:p>
        </w:tc>
      </w:tr>
      <w:tr w:rsidR="00056590" w14:paraId="26780126" w14:textId="77777777" w:rsidTr="00F53C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AFAF" w14:textId="77777777" w:rsidR="00056590" w:rsidRDefault="00000000">
            <w:r>
              <w:rPr>
                <w:color w:val="222222"/>
                <w:sz w:val="20"/>
                <w:szCs w:val="20"/>
              </w:rPr>
              <w:t>Venal ≥ mercado (razão ≤ 1,0)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A703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44,0%</w:t>
            </w:r>
          </w:p>
        </w:tc>
      </w:tr>
      <w:tr w:rsidR="00056590" w14:paraId="670B8C30" w14:textId="77777777" w:rsidTr="00F53C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C739" w14:textId="77777777" w:rsidR="00056590" w:rsidRDefault="00000000">
            <w:r>
              <w:rPr>
                <w:color w:val="222222"/>
                <w:sz w:val="20"/>
                <w:szCs w:val="20"/>
              </w:rPr>
              <w:t>Mercado até 20% acima do venal</w:t>
            </w:r>
          </w:p>
        </w:tc>
        <w:tc>
          <w:tcPr>
            <w:tcW w:w="2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CD4B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45,0%</w:t>
            </w:r>
          </w:p>
        </w:tc>
      </w:tr>
      <w:tr w:rsidR="00056590" w14:paraId="0099F17D" w14:textId="77777777" w:rsidTr="00F53C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F464" w14:textId="77777777" w:rsidR="00056590" w:rsidRDefault="00000000">
            <w:r>
              <w:rPr>
                <w:color w:val="222222"/>
                <w:sz w:val="20"/>
                <w:szCs w:val="20"/>
              </w:rPr>
              <w:t>Mercado 20-50% acima do venal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69D5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10,6%</w:t>
            </w:r>
          </w:p>
        </w:tc>
      </w:tr>
      <w:tr w:rsidR="00056590" w14:paraId="043CFDDE" w14:textId="77777777" w:rsidTr="00F53C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0B79" w14:textId="77777777" w:rsidR="00056590" w:rsidRDefault="00000000">
            <w:r>
              <w:rPr>
                <w:color w:val="222222"/>
                <w:sz w:val="20"/>
                <w:szCs w:val="20"/>
              </w:rPr>
              <w:t>Mercado 50-100% acima do venal</w:t>
            </w:r>
          </w:p>
        </w:tc>
        <w:tc>
          <w:tcPr>
            <w:tcW w:w="2400" w:type="dxa"/>
            <w:shd w:val="clear" w:color="auto" w:fill="F0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EA3E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0,3%</w:t>
            </w:r>
          </w:p>
        </w:tc>
      </w:tr>
      <w:tr w:rsidR="00056590" w14:paraId="755F4DD2" w14:textId="77777777" w:rsidTr="00F53C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E55C" w14:textId="77777777" w:rsidR="00056590" w:rsidRDefault="00000000">
            <w:r>
              <w:rPr>
                <w:color w:val="222222"/>
                <w:sz w:val="20"/>
                <w:szCs w:val="20"/>
              </w:rPr>
              <w:t>Mercado &gt; 100% acima do venal (muito defasado)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C2FD" w14:textId="77777777" w:rsidR="00056590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0,1%</w:t>
            </w:r>
          </w:p>
        </w:tc>
      </w:tr>
    </w:tbl>
    <w:p w14:paraId="643954B8" w14:textId="77777777" w:rsidR="00056590" w:rsidRDefault="00056590">
      <w:pPr>
        <w:spacing w:after="200"/>
      </w:pPr>
    </w:p>
    <w:p w14:paraId="0673F22F" w14:textId="77777777" w:rsidR="00056590" w:rsidRDefault="00000000">
      <w:pPr>
        <w:spacing w:after="160"/>
        <w:jc w:val="both"/>
      </w:pPr>
      <w:r>
        <w:t>A razão mediana entre o modelo e o venal corrigido é 1,024: no ponto central, o venal está muito próximo do valor de mercado estimado, e em 44,0% dos casos o venal já é igual ou superior ao valor estimado (o que é coerente com o venal funcionando como piso mínimo de tributação, como visto na seção 4.1). Ainda assim, em 11,0% das transmissões o venal está pelo menos 20% abaixo da estimativa de mercado do modelo — indicando espaço de defasagem em uma parcela minoritária, mas não desprezível, do lote.</w:t>
      </w:r>
    </w:p>
    <w:p w14:paraId="291EB8A9" w14:textId="77777777" w:rsidR="00056590" w:rsidRDefault="00000000">
      <w:pPr>
        <w:pStyle w:val="Ttulo1"/>
      </w:pPr>
      <w:r>
        <w:t>5. Conclusões</w:t>
      </w:r>
    </w:p>
    <w:p w14:paraId="1A9EFF18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O modelo LightGBM, na validação normativa formal (Etapa 5, conjunto de teste de 9.276 transações nunca vistas no treino), atende a todas as quatro metas da IAAO/NBR 14653-2 (razão mediana, COD, PRD e PRB), superando tanto o valor venal atual quanto o modelo hedônico nesse mesmo teste.</w:t>
      </w:r>
    </w:p>
    <w:p w14:paraId="60ACEB12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Aplicado ao lote real de 2025-2026 (11.886 apartamentos), o modelo reproduz o valor declarado com razão mediana de 0,998, e concorda com o declarado dentro de ±10% em 45,0% das transmissões — a dispersão mais alta neste lote (20,8% de COD) é esperada, pois aqui não há o filtro de plausibilidade usado no treino.</w:t>
      </w:r>
    </w:p>
    <w:p w14:paraId="64C309F2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O valor venal atual está, na mediana deste lote, muito próximo do valor declarado e do valor de mercado estimado — mas 11,0% das transmissões têm o venal pelo menos 20% abaixo da estimativa de mercado, sinalizando uma parcela do estoque com potencial de defasagem tributária.</w:t>
      </w:r>
    </w:p>
    <w:p w14:paraId="29618526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lastRenderedPageBreak/>
        <w:t>O modelo cobre exclusivamente Apartamento com compra e venda registrada. Casa, Comercial, Terreno e Garagem permanecem fora do escopo automático, dependendo de avaliação assistida ou de laudo específico (SEMAP).</w:t>
      </w:r>
    </w:p>
    <w:p w14:paraId="1D3DBC6D" w14:textId="77777777" w:rsidR="00056590" w:rsidRDefault="00000000" w:rsidP="00F53CC9">
      <w:pPr>
        <w:pStyle w:val="PargrafodaLista"/>
        <w:numPr>
          <w:ilvl w:val="0"/>
          <w:numId w:val="1"/>
        </w:numPr>
        <w:spacing w:after="80"/>
        <w:jc w:val="both"/>
      </w:pPr>
      <w:r>
        <w:t>As divergências extremas identificadas nos gráficos 5 e 6 (cerca de 8% do lote) não tiveram sua causa investigada neste relatório — recomenda-se que a equipe técnica examine esses casos individualmente antes de qualquer uso do modelo como subsídio a decisões de liberação de valor ou de resposta a impugnação.</w:t>
      </w:r>
    </w:p>
    <w:p w14:paraId="64726F39" w14:textId="77777777" w:rsidR="00056590" w:rsidRDefault="00000000" w:rsidP="00F53CC9">
      <w:pPr>
        <w:spacing w:after="160"/>
        <w:jc w:val="both"/>
      </w:pPr>
      <w:r>
        <w:rPr>
          <w:i/>
          <w:iCs/>
          <w:sz w:val="20"/>
          <w:szCs w:val="20"/>
        </w:rPr>
        <w:t>Este relatório é subsídio técnico. A decisão sobre o uso do modelo em cada processo — liberação de valor, resposta a impugnação, ou definição de novo VVA de referência — permanece a cargo do auditor fiscal e da SEFAZ/DRM.</w:t>
      </w:r>
    </w:p>
    <w:sectPr w:rsidR="00056590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C5020" w14:textId="77777777" w:rsidR="009A6B3D" w:rsidRDefault="009A6B3D">
      <w:r>
        <w:separator/>
      </w:r>
    </w:p>
  </w:endnote>
  <w:endnote w:type="continuationSeparator" w:id="0">
    <w:p w14:paraId="237F7FB3" w14:textId="77777777" w:rsidR="009A6B3D" w:rsidRDefault="009A6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EC53" w14:textId="77777777" w:rsidR="00056590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53CC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53CC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4485" w14:textId="77777777" w:rsidR="009A6B3D" w:rsidRDefault="009A6B3D">
      <w:r>
        <w:separator/>
      </w:r>
    </w:p>
  </w:footnote>
  <w:footnote w:type="continuationSeparator" w:id="0">
    <w:p w14:paraId="5A6342DB" w14:textId="77777777" w:rsidR="009A6B3D" w:rsidRDefault="009A6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94E5" w14:textId="77777777" w:rsidR="00056590" w:rsidRDefault="00000000">
    <w:pPr>
      <w:jc w:val="right"/>
    </w:pPr>
    <w:r>
      <w:rPr>
        <w:color w:val="888888"/>
        <w:sz w:val="16"/>
        <w:szCs w:val="16"/>
      </w:rPr>
      <w:t>Coordenadoria de Inteligência Fiscal — SEFAZ Salvador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4D2A"/>
    <w:multiLevelType w:val="hybridMultilevel"/>
    <w:tmpl w:val="1EB0BE8E"/>
    <w:lvl w:ilvl="0" w:tplc="C1380296">
      <w:start w:val="1"/>
      <w:numFmt w:val="bullet"/>
      <w:lvlText w:val="●"/>
      <w:lvlJc w:val="left"/>
      <w:pPr>
        <w:ind w:left="720" w:hanging="360"/>
      </w:pPr>
    </w:lvl>
    <w:lvl w:ilvl="1" w:tplc="B608CD6A">
      <w:start w:val="1"/>
      <w:numFmt w:val="bullet"/>
      <w:lvlText w:val="○"/>
      <w:lvlJc w:val="left"/>
      <w:pPr>
        <w:ind w:left="1440" w:hanging="360"/>
      </w:pPr>
    </w:lvl>
    <w:lvl w:ilvl="2" w:tplc="09EABE78">
      <w:start w:val="1"/>
      <w:numFmt w:val="bullet"/>
      <w:lvlText w:val="■"/>
      <w:lvlJc w:val="left"/>
      <w:pPr>
        <w:ind w:left="2160" w:hanging="360"/>
      </w:pPr>
    </w:lvl>
    <w:lvl w:ilvl="3" w:tplc="97D2E444">
      <w:start w:val="1"/>
      <w:numFmt w:val="bullet"/>
      <w:lvlText w:val="●"/>
      <w:lvlJc w:val="left"/>
      <w:pPr>
        <w:ind w:left="2880" w:hanging="360"/>
      </w:pPr>
    </w:lvl>
    <w:lvl w:ilvl="4" w:tplc="8B222F84">
      <w:start w:val="1"/>
      <w:numFmt w:val="bullet"/>
      <w:lvlText w:val="○"/>
      <w:lvlJc w:val="left"/>
      <w:pPr>
        <w:ind w:left="3600" w:hanging="360"/>
      </w:pPr>
    </w:lvl>
    <w:lvl w:ilvl="5" w:tplc="3EEEAAA6">
      <w:start w:val="1"/>
      <w:numFmt w:val="bullet"/>
      <w:lvlText w:val="■"/>
      <w:lvlJc w:val="left"/>
      <w:pPr>
        <w:ind w:left="4320" w:hanging="360"/>
      </w:pPr>
    </w:lvl>
    <w:lvl w:ilvl="6" w:tplc="57E2D16A">
      <w:start w:val="1"/>
      <w:numFmt w:val="bullet"/>
      <w:lvlText w:val="●"/>
      <w:lvlJc w:val="left"/>
      <w:pPr>
        <w:ind w:left="5040" w:hanging="360"/>
      </w:pPr>
    </w:lvl>
    <w:lvl w:ilvl="7" w:tplc="5E08DAF8">
      <w:start w:val="1"/>
      <w:numFmt w:val="bullet"/>
      <w:lvlText w:val="●"/>
      <w:lvlJc w:val="left"/>
      <w:pPr>
        <w:ind w:left="5760" w:hanging="360"/>
      </w:pPr>
    </w:lvl>
    <w:lvl w:ilvl="8" w:tplc="EF52E5D4">
      <w:start w:val="1"/>
      <w:numFmt w:val="bullet"/>
      <w:lvlText w:val="●"/>
      <w:lvlJc w:val="left"/>
      <w:pPr>
        <w:ind w:left="6480" w:hanging="360"/>
      </w:pPr>
    </w:lvl>
  </w:abstractNum>
  <w:num w:numId="1" w16cid:durableId="334770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590"/>
    <w:rsid w:val="00056590"/>
    <w:rsid w:val="005D01C8"/>
    <w:rsid w:val="009A6B3D"/>
    <w:rsid w:val="00F5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DC46"/>
  <w15:docId w15:val="{927E9690-2998-47F8-96AC-6B144F66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0"/>
      <w:szCs w:val="30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4A7BA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2126</Words>
  <Characters>11311</Characters>
  <Application>Microsoft Office Word</Application>
  <DocSecurity>0</DocSecurity>
  <Lines>245</Lines>
  <Paragraphs>167</Paragraphs>
  <ScaleCrop>false</ScaleCrop>
  <Company/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Sidnei de Oliveira Rafael</cp:lastModifiedBy>
  <cp:revision>2</cp:revision>
  <dcterms:created xsi:type="dcterms:W3CDTF">2026-07-15T18:38:00Z</dcterms:created>
  <dcterms:modified xsi:type="dcterms:W3CDTF">2026-07-15T18:55:00Z</dcterms:modified>
</cp:coreProperties>
</file>