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Lista Final de Parâmetros — Modelo de Apartamentos (ITIV)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Documento para aprovação da equipe — fecha a fase de Engenharia de Parâmetros</w:t>
      </w:r>
      <w:r>
        <w:rPr>
          <w:rFonts w:ascii="Arial" w:hAnsi="Arial"/>
        </w:rPr>
      </w:r>
    </w:p>
    <w:p>
      <w:r>
        <w:rPr>
          <w:rFonts w:ascii="Arial" w:hAnsi="Arial"/>
        </w:rPr>
        <w:t>Destinatários da avaliação: SEFAZ, contribuintes e Procuradoria do Município de Salvador.</w:t>
      </w:r>
    </w:p>
    <w:p/>
    <w:p>
      <w:pPr>
        <w:pStyle w:val="Heading2"/>
      </w:pPr>
      <w:r>
        <w:rPr>
          <w:rFonts w:ascii="Arial" w:hAnsi="Arial"/>
          <w:color w:val="1A3A5C"/>
        </w:rPr>
        <w:t>1. Objetivo deste documento</w:t>
      </w:r>
    </w:p>
    <w:p>
      <w:r>
        <w:rPr>
          <w:rFonts w:ascii="Arial" w:hAnsi="Arial"/>
        </w:rPr>
        <w:t>Apresentar, para aprovação, a lista definitiva de parâmetros (características do imóvel)</w:t>
      </w:r>
    </w:p>
    <w:p>
      <w:r>
        <w:rPr>
          <w:rFonts w:ascii="Arial" w:hAnsi="Arial"/>
        </w:rPr>
        <w:t xml:space="preserve">que o modelo de avaliação de </w:t>
      </w:r>
      <w:r>
        <w:rPr>
          <w:rFonts w:ascii="Arial" w:hAnsi="Arial"/>
          <w:b/>
        </w:rPr>
        <w:t>apartamentos</w:t>
      </w:r>
      <w:r>
        <w:rPr>
          <w:rFonts w:ascii="Arial" w:hAnsi="Arial"/>
        </w:rPr>
        <w:t xml:space="preserve"> usará para estimar o valor de mercado.</w:t>
      </w:r>
    </w:p>
    <w:p>
      <w:r>
        <w:rPr>
          <w:rFonts w:ascii="Arial" w:hAnsi="Arial"/>
        </w:rPr>
        <w:t>Cada decisão é fundamentada nas Etapas 1 a 7 da engenharia de parâmetros e nas normas</w:t>
      </w:r>
    </w:p>
    <w:p>
      <w:r>
        <w:rPr>
          <w:rFonts w:ascii="Arial" w:hAnsi="Arial"/>
        </w:rPr>
        <w:t>ABNT NBR 14653-1/2, IBAPE/SOBREA 2023 e IAAO.</w:t>
      </w:r>
    </w:p>
    <w:p/>
    <w:p>
      <w:pPr>
        <w:pStyle w:val="Heading2"/>
      </w:pPr>
      <w:r>
        <w:rPr>
          <w:rFonts w:ascii="Arial" w:hAnsi="Arial"/>
          <w:color w:val="1A3A5C"/>
        </w:rPr>
        <w:t>2. Parâmetros que ENTRAM no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Forma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Por que entra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Área privativa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log (ln)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É o parâmetro que mais explica o preço (Spearman 0,79). Representa as áreas (as outras são redundantes). 99,94% preenchido.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Nº de pavimentos do prédio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escala original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Estatisticamente significativo (p ≤ 10%, Grau III) e não redundante com a área.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Localização</w:t>
            </w:r>
            <w:r>
              <w:rPr>
                <w:rFonts w:ascii="Arial" w:hAnsi="Arial"/>
                <w:sz w:val="19"/>
              </w:rPr>
              <w:t xml:space="preserve"> (setor fiscal + coordenadas)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categórica + espacial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Fator mais determinante do valor (até 13× entre setores; +0,088 de R²). Conforme IBAPE 7.7.3.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Andar da unidade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valor + marca "tem/não tem"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Influencia o preço, mas só 35% preenchido — entra com salvaguarda para os casos sem informação.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3. Parâmetros que SAEM do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Por que sai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Área construída / construída da unidade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Redundantes com a área privativa (correlação &gt; 0,90; VIF &gt; 10). Manter as três distorceria o modelo sem agregar informação.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Fatores VLFC</w:t>
            </w:r>
            <w:r>
              <w:rPr>
                <w:rFonts w:ascii="Arial" w:hAnsi="Arial"/>
                <w:sz w:val="19"/>
              </w:rPr>
              <w:t>* (construção, terreno, valor venal)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Circularidade:</w:t>
            </w:r>
            <w:r>
              <w:rPr>
                <w:rFonts w:ascii="Arial" w:hAnsi="Arial"/>
                <w:sz w:val="19"/>
              </w:rPr>
              <w:t xml:space="preserve"> são derivados do valor venal atual da prefeitura — usá-los faria o modelo repetir o valor venal em vez de medir o mercado. Além disso, não agregam poder de previsão (R² +0,0002).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Idade do imóvel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Dado praticamente inexistente nesta extração (~0% preenchido). Recomenda-se solicitar ao cadastro para modelos futuros.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4. Comprovações que sustentam estas decisões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Outliers:</w:t>
      </w:r>
      <w:r>
        <w:rPr>
          <w:rFonts w:ascii="Arial" w:hAnsi="Arial"/>
        </w:rPr>
        <w:t xml:space="preserve"> remover 1,2% dos extremos eleva o poder de explicação de 50% para 70%</w:t>
      </w:r>
    </w:p>
    <w:p>
      <w:r>
        <w:rPr>
          <w:rFonts w:ascii="Arial" w:hAnsi="Arial"/>
        </w:rPr>
        <w:t xml:space="preserve">  (R²). Confirma o tratamento por critério estatístico consagrado (NBR 14653-2 B.3),</w:t>
      </w:r>
    </w:p>
    <w:p>
      <w:r>
        <w:rPr>
          <w:rFonts w:ascii="Arial" w:hAnsi="Arial"/>
        </w:rPr>
        <w:t xml:space="preserve">  a ser aplicado </w:t>
      </w:r>
      <w:r>
        <w:rPr>
          <w:rFonts w:ascii="Arial" w:hAnsi="Arial"/>
          <w:b/>
        </w:rPr>
        <w:t>só no treino</w:t>
      </w:r>
      <w:r>
        <w:rPr>
          <w:rFonts w:ascii="Arial" w:hAnsi="Arial"/>
        </w:rPr>
        <w:t xml:space="preserve"> e de forma </w:t>
      </w:r>
      <w:r>
        <w:rPr>
          <w:rFonts w:ascii="Arial" w:hAnsi="Arial"/>
          <w:b/>
        </w:rPr>
        <w:t>iterativa</w:t>
      </w:r>
      <w:r>
        <w:rPr>
          <w:rFonts w:ascii="Arial" w:hAnsi="Arial"/>
        </w:rPr>
        <w:t>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Transformação log:</w:t>
      </w:r>
      <w:r>
        <w:rPr>
          <w:rFonts w:ascii="Arial" w:hAnsi="Arial"/>
        </w:rPr>
        <w:t xml:space="preserve"> comprovada — corrige a distorção dos extremos (a correlação</w:t>
      </w:r>
    </w:p>
    <w:p>
      <w:r>
        <w:rPr>
          <w:rFonts w:ascii="Arial" w:hAnsi="Arial"/>
        </w:rPr>
        <w:t xml:space="preserve">  área×preço sobe de ~0 para 0,57; a assimetria da área cai de 279 para 0,57).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Localização:</w:t>
      </w:r>
      <w:r>
        <w:rPr>
          <w:rFonts w:ascii="Arial" w:hAnsi="Arial"/>
        </w:rPr>
        <w:t xml:space="preserve"> +0,088 de R² só com setor fiscal; mais ainda com coordenadas/KNN e</w:t>
      </w:r>
    </w:p>
    <w:p>
      <w:r>
        <w:rPr>
          <w:rFonts w:ascii="Arial" w:hAnsi="Arial"/>
        </w:rPr>
        <w:t xml:space="preserve">  com o modelo não-linear (LightGBM).</w:t>
      </w:r>
    </w:p>
    <w:p/>
    <w:p>
      <w:pPr>
        <w:pStyle w:val="Heading2"/>
      </w:pPr>
      <w:r>
        <w:rPr>
          <w:rFonts w:ascii="Arial" w:hAnsi="Arial"/>
          <w:color w:val="1A3A5C"/>
        </w:rPr>
        <w:t>5. Salvaguardas mantidas</w:t>
      </w:r>
    </w:p>
    <w:p>
      <w:pPr>
        <w:pStyle w:val="ListBullet"/>
      </w:pPr>
      <w:r>
        <w:rPr>
          <w:rFonts w:ascii="Arial" w:hAnsi="Arial"/>
        </w:rPr>
        <w:t xml:space="preserve">Limites de área/valor (Chauvenet) valem </w:t>
      </w:r>
      <w:r>
        <w:rPr>
          <w:rFonts w:ascii="Arial" w:hAnsi="Arial"/>
          <w:b/>
        </w:rPr>
        <w:t>somente na amostra de treino</w:t>
      </w:r>
      <w:r>
        <w:rPr>
          <w:rFonts w:ascii="Arial" w:hAnsi="Arial"/>
        </w:rPr>
        <w:t>, nunca na</w:t>
      </w:r>
    </w:p>
    <w:p>
      <w:r>
        <w:rPr>
          <w:rFonts w:ascii="Arial" w:hAnsi="Arial"/>
        </w:rPr>
        <w:t xml:space="preserve">  inferência (IBAPE 7.6.7 / 7.9.1).</w:t>
      </w:r>
    </w:p>
    <w:p>
      <w:pPr>
        <w:pStyle w:val="ListBullet"/>
      </w:pPr>
      <w:r>
        <w:rPr>
          <w:rFonts w:ascii="Arial" w:hAnsi="Arial"/>
        </w:rPr>
        <w:t xml:space="preserve">O modelo avaliará </w:t>
      </w:r>
      <w:r>
        <w:rPr>
          <w:rFonts w:ascii="Arial" w:hAnsi="Arial"/>
          <w:b/>
        </w:rPr>
        <w:t>todos</w:t>
      </w:r>
      <w:r>
        <w:rPr>
          <w:rFonts w:ascii="Arial" w:hAnsi="Arial"/>
        </w:rPr>
        <w:t xml:space="preserve"> os apartamentos do cadastro; atípicos são </w:t>
      </w:r>
      <w:r>
        <w:rPr>
          <w:rFonts w:ascii="Arial" w:hAnsi="Arial"/>
          <w:b/>
        </w:rPr>
        <w:t>sinalizados</w:t>
      </w:r>
      <w:r>
        <w:rPr>
          <w:rFonts w:ascii="Arial" w:hAnsi="Arial"/>
        </w:rPr>
      </w:r>
    </w:p>
    <w:p>
      <w:r>
        <w:rPr>
          <w:rFonts w:ascii="Arial" w:hAnsi="Arial"/>
        </w:rPr>
        <w:t xml:space="preserve">  para avaliação individual, nunca excluídos (IBAPE 7.1.3a).</w:t>
      </w:r>
    </w:p>
    <w:p>
      <w:pPr>
        <w:pStyle w:val="ListBullet"/>
      </w:pPr>
      <w:r>
        <w:rPr>
          <w:rFonts w:ascii="Arial" w:hAnsi="Arial"/>
        </w:rPr>
        <w:t xml:space="preserve">Qualquer proxy de localização será </w:t>
      </w:r>
      <w:r>
        <w:rPr>
          <w:rFonts w:ascii="Arial" w:hAnsi="Arial"/>
          <w:b/>
        </w:rPr>
        <w:t>causal</w:t>
      </w:r>
      <w:r>
        <w:rPr>
          <w:rFonts w:ascii="Arial" w:hAnsi="Arial"/>
        </w:rPr>
        <w:t xml:space="preserve"> (sem vazamento do próprio imóvel).</w:t>
      </w:r>
    </w:p>
    <w:p/>
    <w:p>
      <w:pPr>
        <w:pStyle w:val="Heading2"/>
      </w:pPr>
      <w:r>
        <w:rPr>
          <w:rFonts w:ascii="Arial" w:hAnsi="Arial"/>
          <w:color w:val="1A3A5C"/>
        </w:rPr>
        <w:t>6. Decisão da equipe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Lista final de parâmetros:</w:t>
      </w:r>
      <w:r>
        <w:rPr>
          <w:rFonts w:ascii="Arial" w:hAnsi="Arial"/>
        </w:rPr>
        <w:t xml:space="preserve"> ( ) Aprovada  ( ) Ajustar — _____________________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Decisões pendentes que precisam sair junto (das etapas anteriores):</w:t>
      </w:r>
      <w:r>
        <w:rPr>
          <w:rFonts w:ascii="Arial" w:hAnsi="Arial"/>
        </w:rPr>
      </w:r>
    </w:p>
    <w:p>
      <w:pPr>
        <w:pStyle w:val="ListNumber"/>
      </w:pPr>
      <w:r>
        <w:rPr>
          <w:rFonts w:ascii="Arial" w:hAnsi="Arial"/>
        </w:rPr>
        <w:t>Fatores VLFC*: ( ) Excluir (recomendado)  ( ) Manter — justificar</w:t>
      </w:r>
    </w:p>
    <w:p>
      <w:pPr>
        <w:pStyle w:val="ListNumber"/>
      </w:pPr>
      <w:r>
        <w:rPr>
          <w:rFonts w:ascii="Arial" w:hAnsi="Arial"/>
        </w:rPr>
        <w:t>Método de outlier: ( ) Chauvenet iterativo (recomendado)  ( ) Outro</w:t>
      </w:r>
    </w:p>
    <w:p>
      <w:pPr>
        <w:pStyle w:val="ListNumber"/>
      </w:pPr>
      <w:r>
        <w:rPr>
          <w:rFonts w:ascii="Arial" w:hAnsi="Arial"/>
        </w:rPr>
        <w:t>Andar da unidade com baixa cobertura: ( ) Entrar com flag (recomendado)  ( ) Excluir</w:t>
      </w:r>
    </w:p>
    <w:p>
      <w:r>
        <w:rPr>
          <w:rFonts w:ascii="Arial" w:hAnsi="Arial"/>
        </w:rPr>
        <w:t xml:space="preserve">Após a aprovação, segue-se para a </w:t>
      </w:r>
      <w:r>
        <w:rPr>
          <w:rFonts w:ascii="Arial" w:hAnsi="Arial"/>
          <w:b/>
        </w:rPr>
        <w:t>Etapa 4 — Treino do modelo de apartamentos</w:t>
      </w:r>
      <w:r>
        <w:rPr>
          <w:rFonts w:ascii="Arial" w:hAnsi="Arial"/>
        </w:rPr>
        <w:t>.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Junho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