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Nota para decisão Selan — candidato idade + inscrição relativa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11/08/2026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Status:</w:t>
      </w:r>
      <w:r>
        <w:rPr>
          <w:rFonts w:ascii="Arial" w:hAnsi="Arial"/>
        </w:rPr>
        <w:t xml:space="preserve"> experimental — </w:t>
      </w:r>
      <w:r>
        <w:rPr>
          <w:rFonts w:ascii="Arial" w:hAnsi="Arial"/>
          <w:b/>
        </w:rPr>
        <w:t>não</w:t>
      </w:r>
      <w:r>
        <w:rPr>
          <w:rFonts w:ascii="Arial" w:hAnsi="Arial"/>
        </w:rPr>
        <w:t xml:space="preserve"> substitui o modelo aprovado (14/07/2026) até decisão formal.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Candidato recomendado:</w:t>
      </w:r>
      <w:r>
        <w:rPr>
          <w:rFonts w:ascii="Arial" w:hAnsi="Arial"/>
        </w:rPr>
        <w:t xml:space="preserve"> `idade_mais_rel` (aprovado + idade + inscrição relativa no setor).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Alternativa (melhor nos antigos nos testes anteriores):</w:t>
      </w:r>
      <w:r>
        <w:rPr>
          <w:rFonts w:ascii="Arial" w:hAnsi="Arial"/>
        </w:rPr>
        <w:t xml:space="preserve"> `idade_abs_rel`.</w:t>
      </w:r>
    </w:p>
    <w:p>
      <w:pPr>
        <w:pStyle w:val="Heading2"/>
      </w:pPr>
      <w:r>
        <w:rPr>
          <w:color w:val="1A3A5C"/>
        </w:rPr>
        <w:t>1. O que foi feito</w:t>
      </w:r>
    </w:p>
    <w:p>
      <w:pPr>
        <w:pStyle w:val="ListNumber"/>
      </w:pPr>
      <w:r>
        <w:t>Confirmou-se o candidato **idade + inscrição relativa** (`LOG_INSCRICAO_REL`, `RANK_INSCRICAO_SETOR`).</w:t>
      </w:r>
    </w:p>
    <w:p>
      <w:pPr>
        <w:pStyle w:val="ListNumber"/>
      </w:pPr>
      <w:r>
        <w:t>Gravou-se o artefato LightGBM do candidato (mesmos hiperparâmetros do aprovado).</w:t>
      </w:r>
    </w:p>
    <w:p>
      <w:pPr>
        <w:pStyle w:val="ListNumber"/>
      </w:pPr>
      <w:r>
        <w:t>Reprocessou-se o status **Compatível** no **holdout** com a regra operacional (±15%; suspeito fora de 0,5–2,0).</w:t>
      </w:r>
    </w:p>
    <w:p>
      <w:pPr>
        <w:pStyle w:val="ListNumber"/>
      </w:pPr>
      <w:r>
        <w:t>Cruzou-se com a planilha de status (mesmo `VALOR_TX` usado no diagnóstico do David).</w:t>
      </w:r>
    </w:p>
    <w:p>
      <w:r>
        <w:rPr>
          <w:rFonts w:ascii="Arial" w:hAnsi="Arial"/>
        </w:rPr>
        <w:t>SELIC permanece fora (teste anterior sem ganho).</w:t>
      </w:r>
    </w:p>
    <w:p>
      <w:pPr>
        <w:pStyle w:val="Heading2"/>
      </w:pPr>
      <w:r>
        <w:rPr>
          <w:color w:val="1A3A5C"/>
        </w:rPr>
        <w:t>2. Holdout — métricas IAAO</w:t>
      </w:r>
    </w:p>
    <w:p>
      <w:pPr>
        <w:pStyle w:val="Heading2"/>
      </w:pPr>
      <w:r>
        <w:rPr>
          <w:color w:val="1A3A5C"/>
        </w:rPr>
        <w:t>3. Holdout — % Compatível (valor deflacionado da amostra)</w:t>
      </w:r>
    </w:p>
    <w:p>
      <w:pPr>
        <w:pStyle w:val="Heading3"/>
      </w:pPr>
      <w:r>
        <w:rPr>
          <w:color w:val="1A3A5C"/>
        </w:rPr>
        <w:t>Por inscrição — candidato idade_mais_rel (holdout)</w:t>
      </w:r>
    </w:p>
    <w:p>
      <w:pPr>
        <w:pStyle w:val="Heading3"/>
      </w:pPr>
      <w:r>
        <w:rPr>
          <w:color w:val="1A3A5C"/>
        </w:rPr>
        <w:t>Por inscrição — baseline (holdout)</w:t>
      </w:r>
    </w:p>
    <w:p>
      <w:pPr>
        <w:pStyle w:val="Heading2"/>
      </w:pPr>
      <w:r>
        <w:rPr>
          <w:color w:val="1A3A5C"/>
        </w:rPr>
        <w:t>4. Cruzamento com planilha de status (VALOR_TX operacional)</w:t>
      </w:r>
    </w:p>
    <w:p>
      <w:r>
        <w:rPr>
          <w:rFonts w:ascii="Arial" w:hAnsi="Arial"/>
        </w:rPr>
        <w:t>N = 9,278 (holdout ∩ status com estimativa).</w:t>
      </w:r>
    </w:p>
    <w:p>
      <w:pPr>
        <w:pStyle w:val="Heading3"/>
      </w:pPr>
      <w:r>
        <w:rPr>
          <w:color w:val="1A3A5C"/>
        </w:rPr>
        <w:t>Baseline reclassificado</w:t>
      </w:r>
    </w:p>
    <w:p>
      <w:pPr>
        <w:pStyle w:val="Heading3"/>
      </w:pPr>
      <w:r>
        <w:rPr>
          <w:color w:val="1A3A5C"/>
        </w:rPr>
        <w:t>idade_mais_rel</w:t>
      </w:r>
    </w:p>
    <w:p>
      <w:pPr>
        <w:pStyle w:val="Heading3"/>
      </w:pPr>
      <w:r>
        <w:rPr>
          <w:color w:val="1A3A5C"/>
        </w:rPr>
        <w:t>idade_abs_rel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Concentração David (% Compatível que tem inscrição &gt;900k):</w:t>
      </w:r>
      <w:r>
        <w:rPr>
          <w:rFonts w:ascii="Arial" w:hAnsi="Arial"/>
        </w:rPr>
      </w:r>
    </w:p>
    <w:p>
      <w:r>
        <w:rPr>
          <w:rFonts w:ascii="Arial" w:hAnsi="Arial"/>
        </w:rPr>
        <w:t>baseline 43.94% · idade_mais_rel 43.56% · idade_abs_rel 43.52%</w:t>
      </w:r>
    </w:p>
    <w:p>
      <w:pPr>
        <w:pStyle w:val="Heading2"/>
      </w:pPr>
      <w:r>
        <w:rPr>
          <w:color w:val="1A3A5C"/>
        </w:rPr>
        <w:t>5. Recomendação</w:t>
      </w:r>
    </w:p>
    <w:p>
      <w:pPr>
        <w:pStyle w:val="Heading3"/>
      </w:pPr>
      <w:r>
        <w:rPr>
          <w:color w:val="1A3A5C"/>
        </w:rPr>
        <w:t>Checklist promoção</w:t>
      </w:r>
    </w:p>
    <w:p>
      <w:pPr>
        <w:pStyle w:val="ListBullet"/>
      </w:pPr>
      <w:r>
        <w:t>[ ] Revisar esta nota e `desafiante_idade/saida/grafico_compativel_candidato_por_inscricao.png`</w:t>
      </w:r>
    </w:p>
    <w:p>
      <w:pPr>
        <w:pStyle w:val="ListBullet"/>
      </w:pPr>
      <w:r>
        <w:t>[ ] Etapa 5 normativa no candidato</w:t>
      </w:r>
    </w:p>
    <w:p>
      <w:pPr>
        <w:pStyle w:val="ListBullet"/>
      </w:pPr>
      <w:r>
        <w:t>[ ] Regenerar lote + planilha de status completa</w:t>
      </w:r>
    </w:p>
    <w:p>
      <w:pPr>
        <w:pStyle w:val="ListBullet"/>
      </w:pPr>
      <w:r>
        <w:t>[ ] Manifesto SHA-256</w:t>
      </w:r>
    </w:p>
    <w:p>
      <w:pPr>
        <w:pStyle w:val="ListBullet"/>
      </w:pPr>
      <w:r>
        <w:t>[ ] Registro formal de aprovação</w:t>
      </w:r>
    </w:p>
    <w:p>
      <w:pPr>
        <w:pStyle w:val="Heading2"/>
      </w:pPr>
      <w:r>
        <w:rPr>
          <w:color w:val="1A3A5C"/>
        </w:rPr>
        <w:t>6. Artefatos</w:t>
      </w:r>
    </w:p>
    <w:p>
      <w:r>
        <w:rPr>
          <w:rFonts w:ascii="Arial" w:hAnsi="Arial"/>
        </w:rPr>
        <w:t>*Coordenadoria de Inteligência Fiscal — SEFAZ Salvador*</w:t>
      </w:r>
    </w:p>
    <w:p>
      <w:pPr>
        <w:pStyle w:val="Heading2"/>
      </w:pPr>
      <w:r>
        <w:t>Anexo — Compatível por inscrição (cruzamento operacional)</w:t>
      </w:r>
    </w:p>
    <w:p>
      <w:pPr>
        <w:pStyle w:val="Heading3"/>
      </w:pPr>
      <w:r>
        <w:t>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Compatível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Auditor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&lt;300k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1,082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74.4%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25.2%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300-900k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4,364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86.2%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13.6%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&gt;900k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3,832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93.4%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6.6%</w:t>
            </w:r>
          </w:p>
        </w:tc>
      </w:tr>
    </w:tbl>
    <w:p/>
    <w:p>
      <w:pPr>
        <w:pStyle w:val="Heading3"/>
      </w:pPr>
      <w:r>
        <w:t>idade_mais_rel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Compatível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Auditor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&lt;300k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1,082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81.0%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18.9%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300-900k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4,364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86.3%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13.5%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&gt;900k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3,832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93.5%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6.5%</w:t>
            </w:r>
          </w:p>
        </w:tc>
      </w:tr>
    </w:tbl>
    <w:p/>
    <w:p>
      <w:pPr>
        <w:pStyle w:val="Heading3"/>
      </w:pPr>
      <w:r>
        <w:t>idade_abs_rel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Compatível</w:t>
            </w:r>
          </w:p>
        </w:tc>
        <w:tc>
          <w:tcPr>
            <w:tcW w:type="dxa" w:w="2394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% Auditor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&lt;300k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1,082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81.0%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18.9%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300-900k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4,364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86.4%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13.4%</w:t>
            </w:r>
          </w:p>
        </w:tc>
      </w:tr>
      <w:tr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&gt;900k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3,832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93.4%</w:t>
            </w:r>
          </w:p>
        </w:tc>
        <w:tc>
          <w:tcPr>
            <w:tcW w:type="dxa" w:w="2394"/>
          </w:tcPr>
          <w:p>
            <w:r>
              <w:rPr>
                <w:rFonts w:ascii="Arial" w:hAnsi="Arial"/>
                <w:sz w:val="18"/>
              </w:rPr>
              <w:t>6.6%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