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17C9" w14:textId="77777777" w:rsidR="001E6961" w:rsidRPr="0050224C" w:rsidRDefault="00000000">
      <w:pPr>
        <w:spacing w:after="160"/>
        <w:jc w:val="center"/>
        <w:rPr>
          <w:lang w:val="pt-BR"/>
        </w:rPr>
      </w:pPr>
      <w:r w:rsidRPr="0050224C">
        <w:rPr>
          <w:rFonts w:ascii="Calibri" w:eastAsia="Calibri" w:hAnsi="Calibri"/>
          <w:b/>
          <w:sz w:val="32"/>
          <w:lang w:val="pt-BR"/>
        </w:rPr>
        <w:t>Nota técnica — Idade do imóvel no modelo de apartamentos (ITIV)</w:t>
      </w:r>
    </w:p>
    <w:p w14:paraId="63C55594" w14:textId="77777777" w:rsidR="001E6961" w:rsidRPr="0050224C" w:rsidRDefault="00000000">
      <w:pPr>
        <w:spacing w:after="160"/>
        <w:jc w:val="center"/>
        <w:rPr>
          <w:lang w:val="pt-BR"/>
        </w:rPr>
      </w:pPr>
      <w:r w:rsidRPr="0050224C">
        <w:rPr>
          <w:rFonts w:ascii="Calibri" w:eastAsia="Calibri" w:hAnsi="Calibri"/>
          <w:sz w:val="24"/>
          <w:lang w:val="pt-BR"/>
        </w:rPr>
        <w:t>Adendo analítico ao Relatório de Inteligência Fiscal 114/2026</w:t>
      </w:r>
    </w:p>
    <w:p w14:paraId="24710D9F" w14:textId="15577E3B" w:rsidR="001E6961" w:rsidRPr="0050224C" w:rsidRDefault="00000000">
      <w:pPr>
        <w:spacing w:after="160"/>
        <w:jc w:val="center"/>
        <w:rPr>
          <w:lang w:val="pt-BR"/>
        </w:rPr>
      </w:pPr>
      <w:r w:rsidRPr="0050224C">
        <w:rPr>
          <w:rFonts w:ascii="Calibri" w:eastAsia="Calibri" w:hAnsi="Calibri"/>
          <w:sz w:val="20"/>
          <w:lang w:val="pt-BR"/>
        </w:rPr>
        <w:t>SELAN / SEFAZ Salvador · 10/08/2026</w:t>
      </w:r>
      <w:r w:rsidRPr="0050224C">
        <w:rPr>
          <w:rFonts w:ascii="Calibri" w:eastAsia="Calibri" w:hAnsi="Calibri"/>
          <w:sz w:val="20"/>
          <w:lang w:val="pt-BR"/>
        </w:rPr>
        <w:br/>
        <w:t>Referência: e-mails Marcos (03/08) e David (04/08/2026)</w:t>
      </w:r>
      <w:r w:rsidRPr="0050224C">
        <w:rPr>
          <w:rFonts w:ascii="Calibri" w:eastAsia="Calibri" w:hAnsi="Calibri"/>
          <w:sz w:val="20"/>
          <w:lang w:val="pt-BR"/>
        </w:rPr>
        <w:br/>
        <w:t>Fonte de idade: Nascimento Imovel.csv</w:t>
      </w:r>
    </w:p>
    <w:p w14:paraId="20245419" w14:textId="77777777" w:rsidR="001E6961" w:rsidRPr="0050224C" w:rsidRDefault="00000000">
      <w:pPr>
        <w:pStyle w:val="Ttulo1"/>
        <w:rPr>
          <w:lang w:val="pt-BR"/>
        </w:rPr>
      </w:pPr>
      <w:r w:rsidRPr="0050224C">
        <w:rPr>
          <w:rFonts w:ascii="Calibri" w:eastAsia="Calibri" w:hAnsi="Calibri"/>
          <w:sz w:val="32"/>
          <w:lang w:val="pt-BR"/>
        </w:rPr>
        <w:t>Resumo em linguagem simples</w:t>
      </w:r>
    </w:p>
    <w:p w14:paraId="2CBAF390" w14:textId="77777777" w:rsidR="001E6961" w:rsidRPr="0050224C" w:rsidRDefault="00000000" w:rsidP="0050224C">
      <w:pPr>
        <w:spacing w:after="160"/>
        <w:jc w:val="both"/>
        <w:rPr>
          <w:lang w:val="pt-BR"/>
        </w:rPr>
      </w:pPr>
      <w:r w:rsidRPr="0050224C">
        <w:rPr>
          <w:rFonts w:ascii="Calibri" w:eastAsia="Calibri" w:hAnsi="Calibri"/>
          <w:lang w:val="pt-BR"/>
        </w:rPr>
        <w:t>David observou que, entre os imóveis em que o modelo “bateu” com a transação (status Compatível), quase metade tem inscrição imobiliária alta (acima de 900 mil). Inscrição alta, em Salvador, costuma indicar imóvel mais novo. Em outras palavras: o modelo acerta mais nos imóveis novos do que nos antigos/depreciados.</w:t>
      </w:r>
    </w:p>
    <w:p w14:paraId="1B1EA2CC" w14:textId="77777777" w:rsidR="001E6961" w:rsidRPr="0050224C" w:rsidRDefault="00000000" w:rsidP="0050224C">
      <w:pPr>
        <w:spacing w:after="160"/>
        <w:jc w:val="both"/>
        <w:rPr>
          <w:lang w:val="pt-BR"/>
        </w:rPr>
      </w:pPr>
      <w:r w:rsidRPr="0050224C">
        <w:rPr>
          <w:rFonts w:ascii="Calibri" w:eastAsia="Calibri" w:hAnsi="Calibri"/>
          <w:lang w:val="pt-BR"/>
        </w:rPr>
        <w:t>Isso faz sentido porque o modelo oficial de apartamentos, aprovado pela equipe, não usa a idade do prédio como variável. Ele olha área, localização, andar e vizinhança. Sem a idade, o modelo “entende” melhor o estoque novo.</w:t>
      </w:r>
    </w:p>
    <w:p w14:paraId="01582A87" w14:textId="77777777" w:rsidR="001E6961" w:rsidRPr="0050224C" w:rsidRDefault="00000000" w:rsidP="0050224C">
      <w:pPr>
        <w:spacing w:after="160"/>
        <w:jc w:val="both"/>
        <w:rPr>
          <w:lang w:val="pt-BR"/>
        </w:rPr>
      </w:pPr>
      <w:r w:rsidRPr="0050224C">
        <w:rPr>
          <w:rFonts w:ascii="Calibri" w:eastAsia="Calibri" w:hAnsi="Calibri"/>
          <w:lang w:val="pt-BR"/>
        </w:rPr>
        <w:t>Com a planilha Nascimento Imóvel (ano de construção), calculamos a idade na data da venda e treinamos um modelo experimental (desafiante) incluindo essa informação — sem substituir o modelo oficial. O desafiante ficou um pouco melhor no geral e, principalmente, melhor nos imóveis antigos. A idade passou a ser uma das variáveis mais importantes.</w:t>
      </w:r>
    </w:p>
    <w:p w14:paraId="2E643C49" w14:textId="77777777" w:rsidR="001E6961" w:rsidRPr="0050224C" w:rsidRDefault="00000000" w:rsidP="0050224C">
      <w:pPr>
        <w:spacing w:after="160"/>
        <w:jc w:val="both"/>
        <w:rPr>
          <w:lang w:val="pt-BR"/>
        </w:rPr>
      </w:pPr>
      <w:r w:rsidRPr="0050224C">
        <w:rPr>
          <w:rFonts w:ascii="Calibri" w:eastAsia="Calibri" w:hAnsi="Calibri"/>
          <w:b/>
          <w:lang w:val="pt-BR"/>
        </w:rPr>
        <w:t>Em uma frase: David tem razão; incluir a idade melhora o quadro, mas o modelo oficial só deve ser trocado depois de validação formal da SELAN.</w:t>
      </w:r>
    </w:p>
    <w:p w14:paraId="56697BAF" w14:textId="77777777" w:rsidR="001E6961" w:rsidRDefault="00000000">
      <w:pPr>
        <w:pStyle w:val="Ttulo1"/>
      </w:pPr>
      <w:r>
        <w:rPr>
          <w:rFonts w:ascii="Calibri" w:eastAsia="Calibri" w:hAnsi="Calibri"/>
          <w:sz w:val="32"/>
        </w:rPr>
        <w:t>1. Confirmação do achado do David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E6961" w14:paraId="4AA0917E" w14:textId="77777777">
        <w:tc>
          <w:tcPr>
            <w:tcW w:w="4703" w:type="dxa"/>
            <w:shd w:val="clear" w:color="auto" w:fill="1F4E79"/>
          </w:tcPr>
          <w:p w14:paraId="27BAD2A3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w="4703" w:type="dxa"/>
            <w:shd w:val="clear" w:color="auto" w:fill="1F4E79"/>
          </w:tcPr>
          <w:p w14:paraId="452F822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Valor</w:t>
            </w:r>
          </w:p>
        </w:tc>
      </w:tr>
      <w:tr w:rsidR="001E6961" w14:paraId="113EF2B3" w14:textId="77777777">
        <w:tc>
          <w:tcPr>
            <w:tcW w:w="4703" w:type="dxa"/>
          </w:tcPr>
          <w:p w14:paraId="0CFA76A1" w14:textId="77777777" w:rsidR="001E6961" w:rsidRPr="0050224C" w:rsidRDefault="00000000">
            <w:pPr>
              <w:rPr>
                <w:lang w:val="pt-BR"/>
              </w:rPr>
            </w:pPr>
            <w:r w:rsidRPr="0050224C">
              <w:rPr>
                <w:rFonts w:ascii="Calibri" w:eastAsia="Calibri" w:hAnsi="Calibri"/>
                <w:sz w:val="20"/>
                <w:lang w:val="pt-BR"/>
              </w:rPr>
              <w:t>N Compatível (com estimativa do modelo)</w:t>
            </w:r>
          </w:p>
        </w:tc>
        <w:tc>
          <w:tcPr>
            <w:tcW w:w="4703" w:type="dxa"/>
          </w:tcPr>
          <w:p w14:paraId="7FA5A88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79.344</w:t>
            </w:r>
          </w:p>
        </w:tc>
      </w:tr>
      <w:tr w:rsidR="001E6961" w14:paraId="206AF9DC" w14:textId="77777777">
        <w:tc>
          <w:tcPr>
            <w:tcW w:w="4703" w:type="dxa"/>
          </w:tcPr>
          <w:p w14:paraId="36F18496" w14:textId="77777777" w:rsidR="001E6961" w:rsidRDefault="00000000">
            <w:r>
              <w:rPr>
                <w:rFonts w:ascii="Calibri" w:eastAsia="Calibri" w:hAnsi="Calibri"/>
                <w:sz w:val="20"/>
              </w:rPr>
              <w:t>Compatível com inscrição &gt; 900.000</w:t>
            </w:r>
          </w:p>
        </w:tc>
        <w:tc>
          <w:tcPr>
            <w:tcW w:w="4703" w:type="dxa"/>
          </w:tcPr>
          <w:p w14:paraId="6A7833E0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35.296 (44.48%)</w:t>
            </w:r>
          </w:p>
        </w:tc>
      </w:tr>
      <w:tr w:rsidR="001E6961" w14:paraId="0D3BE35C" w14:textId="77777777">
        <w:tc>
          <w:tcPr>
            <w:tcW w:w="4703" w:type="dxa"/>
          </w:tcPr>
          <w:p w14:paraId="43002C76" w14:textId="77777777" w:rsidR="001E6961" w:rsidRPr="0050224C" w:rsidRDefault="00000000">
            <w:pPr>
              <w:rPr>
                <w:lang w:val="pt-BR"/>
              </w:rPr>
            </w:pPr>
            <w:r w:rsidRPr="0050224C">
              <w:rPr>
                <w:rFonts w:ascii="Calibri" w:eastAsia="Calibri" w:hAnsi="Calibri"/>
                <w:sz w:val="20"/>
                <w:lang w:val="pt-BR"/>
              </w:rPr>
              <w:t>% dos Não Compatível com inscrição &gt; 900k</w:t>
            </w:r>
          </w:p>
        </w:tc>
        <w:tc>
          <w:tcPr>
            <w:tcW w:w="4703" w:type="dxa"/>
          </w:tcPr>
          <w:p w14:paraId="78B685E7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18.81%</w:t>
            </w:r>
          </w:p>
        </w:tc>
      </w:tr>
      <w:tr w:rsidR="001E6961" w14:paraId="4C75C327" w14:textId="77777777">
        <w:tc>
          <w:tcPr>
            <w:tcW w:w="4703" w:type="dxa"/>
          </w:tcPr>
          <w:p w14:paraId="4D8DFE63" w14:textId="77777777" w:rsidR="001E6961" w:rsidRDefault="00000000">
            <w:r>
              <w:rPr>
                <w:rFonts w:ascii="Calibri" w:eastAsia="Calibri" w:hAnsi="Calibri"/>
                <w:sz w:val="20"/>
              </w:rPr>
              <w:t>Idade mediana — Compatível</w:t>
            </w:r>
          </w:p>
        </w:tc>
        <w:tc>
          <w:tcPr>
            <w:tcW w:w="4703" w:type="dxa"/>
          </w:tcPr>
          <w:p w14:paraId="5B64FE1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12 anos</w:t>
            </w:r>
          </w:p>
        </w:tc>
      </w:tr>
      <w:tr w:rsidR="001E6961" w14:paraId="2D243FD6" w14:textId="77777777">
        <w:tc>
          <w:tcPr>
            <w:tcW w:w="4703" w:type="dxa"/>
          </w:tcPr>
          <w:p w14:paraId="5CCC8B7A" w14:textId="77777777" w:rsidR="001E6961" w:rsidRDefault="00000000">
            <w:r>
              <w:rPr>
                <w:rFonts w:ascii="Calibri" w:eastAsia="Calibri" w:hAnsi="Calibri"/>
                <w:sz w:val="20"/>
              </w:rPr>
              <w:t>Idade mediana — Não Compatível*</w:t>
            </w:r>
          </w:p>
        </w:tc>
        <w:tc>
          <w:tcPr>
            <w:tcW w:w="4703" w:type="dxa"/>
          </w:tcPr>
          <w:p w14:paraId="2E0FBF22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25 anos</w:t>
            </w:r>
          </w:p>
        </w:tc>
      </w:tr>
      <w:tr w:rsidR="001E6961" w14:paraId="71DEE3C4" w14:textId="77777777">
        <w:tc>
          <w:tcPr>
            <w:tcW w:w="4703" w:type="dxa"/>
          </w:tcPr>
          <w:p w14:paraId="62B1CF54" w14:textId="77777777" w:rsidR="001E6961" w:rsidRPr="0050224C" w:rsidRDefault="00000000">
            <w:pPr>
              <w:rPr>
                <w:lang w:val="pt-BR"/>
              </w:rPr>
            </w:pPr>
            <w:r w:rsidRPr="0050224C">
              <w:rPr>
                <w:rFonts w:ascii="Calibri" w:eastAsia="Calibri" w:hAnsi="Calibri"/>
                <w:sz w:val="20"/>
                <w:lang w:val="pt-BR"/>
              </w:rPr>
              <w:t>Cobertura de idade na base de status</w:t>
            </w:r>
          </w:p>
        </w:tc>
        <w:tc>
          <w:tcPr>
            <w:tcW w:w="4703" w:type="dxa"/>
          </w:tcPr>
          <w:p w14:paraId="5A6BBA82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76.85%</w:t>
            </w:r>
          </w:p>
        </w:tc>
      </w:tr>
    </w:tbl>
    <w:p w14:paraId="0ED4CE8B" w14:textId="77777777" w:rsidR="001E6961" w:rsidRDefault="001E6961"/>
    <w:p w14:paraId="1504532F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sz w:val="20"/>
          <w:lang w:val="pt-BR"/>
        </w:rPr>
        <w:t>*Exceto “Fora de Escopo do Modelo”. O percentual de Compatível com inscrição &gt; 900k (~44,5%) está alinhado à observação de David (~48%).</w:t>
      </w:r>
    </w:p>
    <w:p w14:paraId="61F7FDC0" w14:textId="77777777" w:rsidR="001E6961" w:rsidRDefault="00000000">
      <w:pPr>
        <w:pStyle w:val="Ttulo2"/>
      </w:pPr>
      <w:r>
        <w:rPr>
          <w:rFonts w:ascii="Calibri" w:eastAsia="Calibri" w:hAnsi="Calibri"/>
        </w:rPr>
        <w:t>1.1 % Compatível por faixa de inscrição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1E6961" w14:paraId="67E7E162" w14:textId="77777777" w:rsidTr="0050224C">
        <w:trPr>
          <w:jc w:val="center"/>
        </w:trPr>
        <w:tc>
          <w:tcPr>
            <w:tcW w:w="1568" w:type="dxa"/>
            <w:shd w:val="clear" w:color="auto" w:fill="1F4E79"/>
          </w:tcPr>
          <w:p w14:paraId="01CE9A20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Faixa</w:t>
            </w:r>
          </w:p>
        </w:tc>
        <w:tc>
          <w:tcPr>
            <w:tcW w:w="1568" w:type="dxa"/>
            <w:shd w:val="clear" w:color="auto" w:fill="1F4E79"/>
          </w:tcPr>
          <w:p w14:paraId="6DFB7C43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N</w:t>
            </w:r>
          </w:p>
        </w:tc>
        <w:tc>
          <w:tcPr>
            <w:tcW w:w="1568" w:type="dxa"/>
            <w:shd w:val="clear" w:color="auto" w:fill="1F4E79"/>
          </w:tcPr>
          <w:p w14:paraId="63DB10D9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% Compatível</w:t>
            </w:r>
          </w:p>
        </w:tc>
        <w:tc>
          <w:tcPr>
            <w:tcW w:w="1568" w:type="dxa"/>
            <w:shd w:val="clear" w:color="auto" w:fill="1F4E79"/>
          </w:tcPr>
          <w:p w14:paraId="662244F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COD mediano</w:t>
            </w:r>
          </w:p>
        </w:tc>
        <w:tc>
          <w:tcPr>
            <w:tcW w:w="1568" w:type="dxa"/>
            <w:shd w:val="clear" w:color="auto" w:fill="1F4E79"/>
          </w:tcPr>
          <w:p w14:paraId="4BBDE79E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PRD</w:t>
            </w:r>
          </w:p>
        </w:tc>
        <w:tc>
          <w:tcPr>
            <w:tcW w:w="1568" w:type="dxa"/>
            <w:shd w:val="clear" w:color="auto" w:fill="1F4E79"/>
          </w:tcPr>
          <w:p w14:paraId="4F6B7156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Idade mediana</w:t>
            </w:r>
          </w:p>
        </w:tc>
      </w:tr>
      <w:tr w:rsidR="001E6961" w14:paraId="00948B67" w14:textId="77777777" w:rsidTr="0050224C">
        <w:trPr>
          <w:jc w:val="center"/>
        </w:trPr>
        <w:tc>
          <w:tcPr>
            <w:tcW w:w="1568" w:type="dxa"/>
          </w:tcPr>
          <w:p w14:paraId="45BE511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&lt;300k</w:t>
            </w:r>
          </w:p>
        </w:tc>
        <w:tc>
          <w:tcPr>
            <w:tcW w:w="1568" w:type="dxa"/>
          </w:tcPr>
          <w:p w14:paraId="31395C5C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14.383</w:t>
            </w:r>
          </w:p>
        </w:tc>
        <w:tc>
          <w:tcPr>
            <w:tcW w:w="1568" w:type="dxa"/>
          </w:tcPr>
          <w:p w14:paraId="00990513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50.95%</w:t>
            </w:r>
          </w:p>
        </w:tc>
        <w:tc>
          <w:tcPr>
            <w:tcW w:w="1568" w:type="dxa"/>
          </w:tcPr>
          <w:p w14:paraId="0964609B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15.0%</w:t>
            </w:r>
          </w:p>
        </w:tc>
        <w:tc>
          <w:tcPr>
            <w:tcW w:w="1568" w:type="dxa"/>
          </w:tcPr>
          <w:p w14:paraId="6ADABE59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1.012</w:t>
            </w:r>
          </w:p>
        </w:tc>
        <w:tc>
          <w:tcPr>
            <w:tcW w:w="1568" w:type="dxa"/>
          </w:tcPr>
          <w:p w14:paraId="64C54FD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49</w:t>
            </w:r>
          </w:p>
        </w:tc>
      </w:tr>
      <w:tr w:rsidR="001E6961" w14:paraId="545145F9" w14:textId="77777777" w:rsidTr="0050224C">
        <w:trPr>
          <w:jc w:val="center"/>
        </w:trPr>
        <w:tc>
          <w:tcPr>
            <w:tcW w:w="1568" w:type="dxa"/>
          </w:tcPr>
          <w:p w14:paraId="5DB4ACE8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300-900k</w:t>
            </w:r>
          </w:p>
        </w:tc>
        <w:tc>
          <w:tcPr>
            <w:tcW w:w="1568" w:type="dxa"/>
          </w:tcPr>
          <w:p w14:paraId="775A2CDA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57.508</w:t>
            </w:r>
          </w:p>
        </w:tc>
        <w:tc>
          <w:tcPr>
            <w:tcW w:w="1568" w:type="dxa"/>
          </w:tcPr>
          <w:p w14:paraId="59779411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63.85%</w:t>
            </w:r>
          </w:p>
        </w:tc>
        <w:tc>
          <w:tcPr>
            <w:tcW w:w="1568" w:type="dxa"/>
          </w:tcPr>
          <w:p w14:paraId="5B78272B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13.0%</w:t>
            </w:r>
          </w:p>
        </w:tc>
        <w:tc>
          <w:tcPr>
            <w:tcW w:w="1568" w:type="dxa"/>
          </w:tcPr>
          <w:p w14:paraId="2B83720A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1.039</w:t>
            </w:r>
          </w:p>
        </w:tc>
        <w:tc>
          <w:tcPr>
            <w:tcW w:w="1568" w:type="dxa"/>
          </w:tcPr>
          <w:p w14:paraId="6CBAC62B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20</w:t>
            </w:r>
          </w:p>
        </w:tc>
      </w:tr>
      <w:tr w:rsidR="001E6961" w14:paraId="63BB7C6C" w14:textId="77777777" w:rsidTr="0050224C">
        <w:trPr>
          <w:jc w:val="center"/>
        </w:trPr>
        <w:tc>
          <w:tcPr>
            <w:tcW w:w="1568" w:type="dxa"/>
          </w:tcPr>
          <w:p w14:paraId="4CF64017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&gt;900k</w:t>
            </w:r>
          </w:p>
        </w:tc>
        <w:tc>
          <w:tcPr>
            <w:tcW w:w="1568" w:type="dxa"/>
          </w:tcPr>
          <w:p w14:paraId="1E059C02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42.379</w:t>
            </w:r>
          </w:p>
        </w:tc>
        <w:tc>
          <w:tcPr>
            <w:tcW w:w="1568" w:type="dxa"/>
          </w:tcPr>
          <w:p w14:paraId="583EB08C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83.29%</w:t>
            </w:r>
          </w:p>
        </w:tc>
        <w:tc>
          <w:tcPr>
            <w:tcW w:w="1568" w:type="dxa"/>
          </w:tcPr>
          <w:p w14:paraId="7807D10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8.3%</w:t>
            </w:r>
          </w:p>
        </w:tc>
        <w:tc>
          <w:tcPr>
            <w:tcW w:w="1568" w:type="dxa"/>
          </w:tcPr>
          <w:p w14:paraId="5EEC235C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1.005</w:t>
            </w:r>
          </w:p>
        </w:tc>
        <w:tc>
          <w:tcPr>
            <w:tcW w:w="1568" w:type="dxa"/>
          </w:tcPr>
          <w:p w14:paraId="24156474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</w:tr>
    </w:tbl>
    <w:p w14:paraId="2AA1239C" w14:textId="77777777" w:rsidR="001E6961" w:rsidRDefault="001E6961"/>
    <w:p w14:paraId="02DFF27D" w14:textId="77777777" w:rsidR="001E6961" w:rsidRDefault="00000000">
      <w:pPr>
        <w:pStyle w:val="Ttulo2"/>
      </w:pPr>
      <w:r>
        <w:rPr>
          <w:rFonts w:ascii="Calibri" w:eastAsia="Calibri" w:hAnsi="Calibri"/>
        </w:rPr>
        <w:lastRenderedPageBreak/>
        <w:t>1.2 % Compatível por faixa etária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E6961" w14:paraId="798CFE4B" w14:textId="77777777" w:rsidTr="0050224C">
        <w:trPr>
          <w:jc w:val="center"/>
        </w:trPr>
        <w:tc>
          <w:tcPr>
            <w:tcW w:w="1881" w:type="dxa"/>
            <w:shd w:val="clear" w:color="auto" w:fill="1F4E79"/>
          </w:tcPr>
          <w:p w14:paraId="64665E94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Faixa etária</w:t>
            </w:r>
          </w:p>
        </w:tc>
        <w:tc>
          <w:tcPr>
            <w:tcW w:w="1881" w:type="dxa"/>
            <w:shd w:val="clear" w:color="auto" w:fill="1F4E79"/>
          </w:tcPr>
          <w:p w14:paraId="4647444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N</w:t>
            </w:r>
          </w:p>
        </w:tc>
        <w:tc>
          <w:tcPr>
            <w:tcW w:w="1881" w:type="dxa"/>
            <w:shd w:val="clear" w:color="auto" w:fill="1F4E79"/>
          </w:tcPr>
          <w:p w14:paraId="371474CC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% Compatível</w:t>
            </w:r>
          </w:p>
        </w:tc>
        <w:tc>
          <w:tcPr>
            <w:tcW w:w="1881" w:type="dxa"/>
            <w:shd w:val="clear" w:color="auto" w:fill="1F4E79"/>
          </w:tcPr>
          <w:p w14:paraId="26D197BE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COD mediano</w:t>
            </w:r>
          </w:p>
        </w:tc>
        <w:tc>
          <w:tcPr>
            <w:tcW w:w="1881" w:type="dxa"/>
            <w:shd w:val="clear" w:color="auto" w:fill="1F4E79"/>
          </w:tcPr>
          <w:p w14:paraId="51B72180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Idade mediana</w:t>
            </w:r>
          </w:p>
        </w:tc>
      </w:tr>
      <w:tr w:rsidR="001E6961" w14:paraId="0783AF3A" w14:textId="77777777" w:rsidTr="0050224C">
        <w:trPr>
          <w:jc w:val="center"/>
        </w:trPr>
        <w:tc>
          <w:tcPr>
            <w:tcW w:w="1881" w:type="dxa"/>
          </w:tcPr>
          <w:p w14:paraId="3104786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0-5</w:t>
            </w:r>
          </w:p>
        </w:tc>
        <w:tc>
          <w:tcPr>
            <w:tcW w:w="1881" w:type="dxa"/>
          </w:tcPr>
          <w:p w14:paraId="138D1777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23.742</w:t>
            </w:r>
          </w:p>
        </w:tc>
        <w:tc>
          <w:tcPr>
            <w:tcW w:w="1881" w:type="dxa"/>
          </w:tcPr>
          <w:p w14:paraId="26C9DB3E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78.88%</w:t>
            </w:r>
          </w:p>
        </w:tc>
        <w:tc>
          <w:tcPr>
            <w:tcW w:w="1881" w:type="dxa"/>
          </w:tcPr>
          <w:p w14:paraId="28EC970B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9.4%</w:t>
            </w:r>
          </w:p>
        </w:tc>
        <w:tc>
          <w:tcPr>
            <w:tcW w:w="1881" w:type="dxa"/>
          </w:tcPr>
          <w:p w14:paraId="176B3958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</w:tr>
      <w:tr w:rsidR="001E6961" w14:paraId="0767BA56" w14:textId="77777777" w:rsidTr="0050224C">
        <w:trPr>
          <w:jc w:val="center"/>
        </w:trPr>
        <w:tc>
          <w:tcPr>
            <w:tcW w:w="1881" w:type="dxa"/>
          </w:tcPr>
          <w:p w14:paraId="61E5F7C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6-15</w:t>
            </w:r>
          </w:p>
        </w:tc>
        <w:tc>
          <w:tcPr>
            <w:tcW w:w="1881" w:type="dxa"/>
          </w:tcPr>
          <w:p w14:paraId="4E5F272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21.745</w:t>
            </w:r>
          </w:p>
        </w:tc>
        <w:tc>
          <w:tcPr>
            <w:tcW w:w="1881" w:type="dxa"/>
          </w:tcPr>
          <w:p w14:paraId="336D8378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69.91%</w:t>
            </w:r>
          </w:p>
        </w:tc>
        <w:tc>
          <w:tcPr>
            <w:tcW w:w="1881" w:type="dxa"/>
          </w:tcPr>
          <w:p w14:paraId="0B5961F2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11.2%</w:t>
            </w:r>
          </w:p>
        </w:tc>
        <w:tc>
          <w:tcPr>
            <w:tcW w:w="1881" w:type="dxa"/>
          </w:tcPr>
          <w:p w14:paraId="7F0F4219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</w:tr>
      <w:tr w:rsidR="001E6961" w14:paraId="0C3B9F7D" w14:textId="77777777" w:rsidTr="0050224C">
        <w:trPr>
          <w:jc w:val="center"/>
        </w:trPr>
        <w:tc>
          <w:tcPr>
            <w:tcW w:w="1881" w:type="dxa"/>
          </w:tcPr>
          <w:p w14:paraId="3164357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16-30</w:t>
            </w:r>
          </w:p>
        </w:tc>
        <w:tc>
          <w:tcPr>
            <w:tcW w:w="1881" w:type="dxa"/>
          </w:tcPr>
          <w:p w14:paraId="6C639687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15.532</w:t>
            </w:r>
          </w:p>
        </w:tc>
        <w:tc>
          <w:tcPr>
            <w:tcW w:w="1881" w:type="dxa"/>
          </w:tcPr>
          <w:p w14:paraId="4392AEC1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60.35%</w:t>
            </w:r>
          </w:p>
        </w:tc>
        <w:tc>
          <w:tcPr>
            <w:tcW w:w="1881" w:type="dxa"/>
          </w:tcPr>
          <w:p w14:paraId="6D4709BD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13.0%</w:t>
            </w:r>
          </w:p>
        </w:tc>
        <w:tc>
          <w:tcPr>
            <w:tcW w:w="1881" w:type="dxa"/>
          </w:tcPr>
          <w:p w14:paraId="594D7984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21</w:t>
            </w:r>
          </w:p>
        </w:tc>
      </w:tr>
      <w:tr w:rsidR="001E6961" w14:paraId="290AA3DC" w14:textId="77777777" w:rsidTr="0050224C">
        <w:trPr>
          <w:jc w:val="center"/>
        </w:trPr>
        <w:tc>
          <w:tcPr>
            <w:tcW w:w="1881" w:type="dxa"/>
          </w:tcPr>
          <w:p w14:paraId="66622C6A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31-50</w:t>
            </w:r>
          </w:p>
        </w:tc>
        <w:tc>
          <w:tcPr>
            <w:tcW w:w="1881" w:type="dxa"/>
          </w:tcPr>
          <w:p w14:paraId="5F4ECC93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21.534</w:t>
            </w:r>
          </w:p>
        </w:tc>
        <w:tc>
          <w:tcPr>
            <w:tcW w:w="1881" w:type="dxa"/>
          </w:tcPr>
          <w:p w14:paraId="6D0B1D1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56.3%</w:t>
            </w:r>
          </w:p>
        </w:tc>
        <w:tc>
          <w:tcPr>
            <w:tcW w:w="1881" w:type="dxa"/>
          </w:tcPr>
          <w:p w14:paraId="5E67AE3B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14.8%</w:t>
            </w:r>
          </w:p>
        </w:tc>
        <w:tc>
          <w:tcPr>
            <w:tcW w:w="1881" w:type="dxa"/>
          </w:tcPr>
          <w:p w14:paraId="4A93F429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40</w:t>
            </w:r>
          </w:p>
        </w:tc>
      </w:tr>
      <w:tr w:rsidR="001E6961" w14:paraId="523F58D0" w14:textId="77777777" w:rsidTr="0050224C">
        <w:trPr>
          <w:jc w:val="center"/>
        </w:trPr>
        <w:tc>
          <w:tcPr>
            <w:tcW w:w="1881" w:type="dxa"/>
          </w:tcPr>
          <w:p w14:paraId="183CF608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50+</w:t>
            </w:r>
          </w:p>
        </w:tc>
        <w:tc>
          <w:tcPr>
            <w:tcW w:w="1881" w:type="dxa"/>
          </w:tcPr>
          <w:p w14:paraId="75B752D7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5.259</w:t>
            </w:r>
          </w:p>
        </w:tc>
        <w:tc>
          <w:tcPr>
            <w:tcW w:w="1881" w:type="dxa"/>
          </w:tcPr>
          <w:p w14:paraId="14F1FC51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47.88%</w:t>
            </w:r>
          </w:p>
        </w:tc>
        <w:tc>
          <w:tcPr>
            <w:tcW w:w="1881" w:type="dxa"/>
          </w:tcPr>
          <w:p w14:paraId="22696CCB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14.6%</w:t>
            </w:r>
          </w:p>
        </w:tc>
        <w:tc>
          <w:tcPr>
            <w:tcW w:w="1881" w:type="dxa"/>
          </w:tcPr>
          <w:p w14:paraId="417F788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55</w:t>
            </w:r>
          </w:p>
        </w:tc>
      </w:tr>
    </w:tbl>
    <w:p w14:paraId="633EFCE0" w14:textId="77777777" w:rsidR="001E6961" w:rsidRDefault="001E6961"/>
    <w:p w14:paraId="02780B00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b/>
          <w:lang w:val="pt-BR"/>
        </w:rPr>
        <w:t>Gráfico — % Compatível por faixa de inscrição e por idade:</w:t>
      </w:r>
    </w:p>
    <w:p w14:paraId="524AA882" w14:textId="77777777" w:rsidR="001E6961" w:rsidRDefault="00000000">
      <w:pPr>
        <w:jc w:val="center"/>
      </w:pPr>
      <w:r>
        <w:rPr>
          <w:noProof/>
        </w:rPr>
        <w:drawing>
          <wp:inline distT="0" distB="0" distL="0" distR="0" wp14:anchorId="7B83D8A8" wp14:editId="0C1B90EE">
            <wp:extent cx="5580000" cy="2130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mpativel_por_faix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7533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b/>
          <w:lang w:val="pt-BR"/>
        </w:rPr>
        <w:t>Gráfico — COD mediano por faixa de inscrição (modelo aprovado):</w:t>
      </w:r>
    </w:p>
    <w:p w14:paraId="58AFD435" w14:textId="77777777" w:rsidR="001E6961" w:rsidRDefault="00000000">
      <w:pPr>
        <w:jc w:val="center"/>
      </w:pPr>
      <w:r>
        <w:rPr>
          <w:noProof/>
        </w:rPr>
        <w:drawing>
          <wp:inline distT="0" distB="0" distL="0" distR="0" wp14:anchorId="1893C385" wp14:editId="77C07C9C">
            <wp:extent cx="4320000" cy="2658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d_por_inscrica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D54F" w14:textId="77777777" w:rsidR="001E6961" w:rsidRPr="0050224C" w:rsidRDefault="00000000">
      <w:pPr>
        <w:pStyle w:val="Ttulo1"/>
        <w:rPr>
          <w:lang w:val="pt-BR"/>
        </w:rPr>
      </w:pPr>
      <w:r w:rsidRPr="0050224C">
        <w:rPr>
          <w:rFonts w:ascii="Calibri" w:eastAsia="Calibri" w:hAnsi="Calibri"/>
          <w:sz w:val="32"/>
          <w:lang w:val="pt-BR"/>
        </w:rPr>
        <w:t>2. O que foi feito tecnicamente</w:t>
      </w:r>
    </w:p>
    <w:p w14:paraId="264032A9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lang w:val="pt-BR"/>
        </w:rPr>
        <w:t>• Ligamos cada transmissão à planilha Nascimento Imóvel pela inscrição.</w:t>
      </w:r>
      <w:r w:rsidRPr="0050224C">
        <w:rPr>
          <w:rFonts w:ascii="Calibri" w:eastAsia="Calibri" w:hAnsi="Calibri"/>
          <w:lang w:val="pt-BR"/>
        </w:rPr>
        <w:br/>
        <w:t>• Ano de construção só entra se estiver entre 1500 e o ano da venda (higiene).</w:t>
      </w:r>
      <w:r w:rsidRPr="0050224C">
        <w:rPr>
          <w:rFonts w:ascii="Calibri" w:eastAsia="Calibri" w:hAnsi="Calibri"/>
          <w:lang w:val="pt-BR"/>
        </w:rPr>
        <w:br/>
        <w:t>• Idade na transação = ano da venda − ano de construção.</w:t>
      </w:r>
      <w:r w:rsidRPr="0050224C">
        <w:rPr>
          <w:rFonts w:ascii="Calibri" w:eastAsia="Calibri" w:hAnsi="Calibri"/>
          <w:lang w:val="pt-BR"/>
        </w:rPr>
        <w:br/>
        <w:t>• Marcamos ausência/invalidez com flags (sem “inventar” idade escondida).</w:t>
      </w:r>
      <w:r w:rsidRPr="0050224C">
        <w:rPr>
          <w:rFonts w:ascii="Calibri" w:eastAsia="Calibri" w:hAnsi="Calibri"/>
          <w:lang w:val="pt-BR"/>
        </w:rPr>
        <w:br/>
      </w:r>
      <w:r w:rsidRPr="0050224C">
        <w:rPr>
          <w:rFonts w:ascii="Calibri" w:eastAsia="Calibri" w:hAnsi="Calibri"/>
          <w:lang w:val="pt-BR"/>
        </w:rPr>
        <w:lastRenderedPageBreak/>
        <w:t>• Treinamos um LightGBM desafiante com as mesmas configurações do modelo aprovado, só acrescentando a idade — o arquivo oficial não foi alterado.</w:t>
      </w:r>
    </w:p>
    <w:p w14:paraId="07E433B9" w14:textId="77777777" w:rsidR="001E6961" w:rsidRPr="0050224C" w:rsidRDefault="00000000">
      <w:pPr>
        <w:pStyle w:val="Ttulo1"/>
        <w:rPr>
          <w:lang w:val="pt-BR"/>
        </w:rPr>
      </w:pPr>
      <w:r w:rsidRPr="0050224C">
        <w:rPr>
          <w:rFonts w:ascii="Calibri" w:eastAsia="Calibri" w:hAnsi="Calibri"/>
          <w:sz w:val="32"/>
          <w:lang w:val="pt-BR"/>
        </w:rPr>
        <w:t>3. Resultado do modelo desafiante</w:t>
      </w:r>
    </w:p>
    <w:p w14:paraId="58A0E7C5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lang w:val="pt-BR"/>
        </w:rPr>
        <w:t>Comparação no teste final (holdout), nunca usado no treino: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1134"/>
        <w:gridCol w:w="1560"/>
        <w:gridCol w:w="992"/>
        <w:gridCol w:w="1078"/>
      </w:tblGrid>
      <w:tr w:rsidR="001E6961" w14:paraId="0D671532" w14:textId="77777777" w:rsidTr="0050224C">
        <w:tc>
          <w:tcPr>
            <w:tcW w:w="2660" w:type="dxa"/>
            <w:shd w:val="clear" w:color="auto" w:fill="1F4E79"/>
          </w:tcPr>
          <w:p w14:paraId="2FE846C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1984" w:type="dxa"/>
            <w:shd w:val="clear" w:color="auto" w:fill="1F4E79"/>
          </w:tcPr>
          <w:p w14:paraId="7CF14FA8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Razão mediana</w:t>
            </w:r>
          </w:p>
        </w:tc>
        <w:tc>
          <w:tcPr>
            <w:tcW w:w="1134" w:type="dxa"/>
            <w:shd w:val="clear" w:color="auto" w:fill="1F4E79"/>
          </w:tcPr>
          <w:p w14:paraId="5089E5C7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COD</w:t>
            </w:r>
          </w:p>
        </w:tc>
        <w:tc>
          <w:tcPr>
            <w:tcW w:w="1560" w:type="dxa"/>
            <w:shd w:val="clear" w:color="auto" w:fill="1F4E79"/>
          </w:tcPr>
          <w:p w14:paraId="5540E5F9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COD mediano</w:t>
            </w:r>
          </w:p>
        </w:tc>
        <w:tc>
          <w:tcPr>
            <w:tcW w:w="992" w:type="dxa"/>
            <w:shd w:val="clear" w:color="auto" w:fill="1F4E79"/>
          </w:tcPr>
          <w:p w14:paraId="35C363C4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PRD</w:t>
            </w:r>
          </w:p>
        </w:tc>
        <w:tc>
          <w:tcPr>
            <w:tcW w:w="1078" w:type="dxa"/>
            <w:shd w:val="clear" w:color="auto" w:fill="1F4E79"/>
          </w:tcPr>
          <w:p w14:paraId="23D715AB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PRB</w:t>
            </w:r>
          </w:p>
        </w:tc>
      </w:tr>
      <w:tr w:rsidR="001E6961" w14:paraId="12032A62" w14:textId="77777777" w:rsidTr="0050224C">
        <w:tc>
          <w:tcPr>
            <w:tcW w:w="2660" w:type="dxa"/>
          </w:tcPr>
          <w:p w14:paraId="46A4CAF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Baseline (sem idade)</w:t>
            </w:r>
          </w:p>
        </w:tc>
        <w:tc>
          <w:tcPr>
            <w:tcW w:w="1984" w:type="dxa"/>
          </w:tcPr>
          <w:p w14:paraId="3B0C7C71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0.9986</w:t>
            </w:r>
          </w:p>
        </w:tc>
        <w:tc>
          <w:tcPr>
            <w:tcW w:w="1134" w:type="dxa"/>
          </w:tcPr>
          <w:p w14:paraId="690ED2CA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9.57%</w:t>
            </w:r>
          </w:p>
        </w:tc>
        <w:tc>
          <w:tcPr>
            <w:tcW w:w="1560" w:type="dxa"/>
          </w:tcPr>
          <w:p w14:paraId="78B9841E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6.59%</w:t>
            </w:r>
          </w:p>
        </w:tc>
        <w:tc>
          <w:tcPr>
            <w:tcW w:w="992" w:type="dxa"/>
          </w:tcPr>
          <w:p w14:paraId="000E72F5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1.0169</w:t>
            </w:r>
          </w:p>
        </w:tc>
        <w:tc>
          <w:tcPr>
            <w:tcW w:w="1078" w:type="dxa"/>
          </w:tcPr>
          <w:p w14:paraId="455CBE73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-0.0088</w:t>
            </w:r>
          </w:p>
        </w:tc>
      </w:tr>
      <w:tr w:rsidR="001E6961" w14:paraId="2A87E155" w14:textId="77777777" w:rsidTr="0050224C">
        <w:tc>
          <w:tcPr>
            <w:tcW w:w="2660" w:type="dxa"/>
          </w:tcPr>
          <w:p w14:paraId="1E7DA23B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Desafiante (+ idade)</w:t>
            </w:r>
          </w:p>
        </w:tc>
        <w:tc>
          <w:tcPr>
            <w:tcW w:w="1984" w:type="dxa"/>
          </w:tcPr>
          <w:p w14:paraId="54C586DA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0.9997</w:t>
            </w:r>
          </w:p>
        </w:tc>
        <w:tc>
          <w:tcPr>
            <w:tcW w:w="1134" w:type="dxa"/>
          </w:tcPr>
          <w:p w14:paraId="38D335BC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9.27%</w:t>
            </w:r>
          </w:p>
        </w:tc>
        <w:tc>
          <w:tcPr>
            <w:tcW w:w="1560" w:type="dxa"/>
          </w:tcPr>
          <w:p w14:paraId="19C12D4A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6.50%</w:t>
            </w:r>
          </w:p>
        </w:tc>
        <w:tc>
          <w:tcPr>
            <w:tcW w:w="992" w:type="dxa"/>
          </w:tcPr>
          <w:p w14:paraId="22F32802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1.0160</w:t>
            </w:r>
          </w:p>
        </w:tc>
        <w:tc>
          <w:tcPr>
            <w:tcW w:w="1078" w:type="dxa"/>
          </w:tcPr>
          <w:p w14:paraId="65528A13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-0.0090</w:t>
            </w:r>
          </w:p>
        </w:tc>
      </w:tr>
    </w:tbl>
    <w:p w14:paraId="39DC38F8" w14:textId="77777777" w:rsidR="001E6961" w:rsidRDefault="001E6961"/>
    <w:p w14:paraId="508259AF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lang w:val="pt-BR"/>
        </w:rPr>
        <w:t>Melhora no COD mediano global: 0.09 ponto percentual (de 6.59% para 6.50%).</w:t>
      </w:r>
    </w:p>
    <w:p w14:paraId="33B77560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b/>
          <w:lang w:val="pt-BR"/>
        </w:rPr>
        <w:t>Holdout estratificado — COD mediano por inscrição (estoque antigo × novo):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E6961" w14:paraId="5104BE13" w14:textId="77777777">
        <w:tc>
          <w:tcPr>
            <w:tcW w:w="3135" w:type="dxa"/>
            <w:shd w:val="clear" w:color="auto" w:fill="1F4E79"/>
          </w:tcPr>
          <w:p w14:paraId="201EC5C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Faixa de inscrição</w:t>
            </w:r>
          </w:p>
        </w:tc>
        <w:tc>
          <w:tcPr>
            <w:tcW w:w="3135" w:type="dxa"/>
            <w:shd w:val="clear" w:color="auto" w:fill="1F4E79"/>
          </w:tcPr>
          <w:p w14:paraId="5797592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Baseline</w:t>
            </w:r>
          </w:p>
        </w:tc>
        <w:tc>
          <w:tcPr>
            <w:tcW w:w="3135" w:type="dxa"/>
            <w:shd w:val="clear" w:color="auto" w:fill="1F4E79"/>
          </w:tcPr>
          <w:p w14:paraId="644548B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Desafiante</w:t>
            </w:r>
          </w:p>
        </w:tc>
      </w:tr>
      <w:tr w:rsidR="001E6961" w14:paraId="4E1E2A1D" w14:textId="77777777">
        <w:tc>
          <w:tcPr>
            <w:tcW w:w="3135" w:type="dxa"/>
          </w:tcPr>
          <w:p w14:paraId="3DFCADF4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&lt;300k</w:t>
            </w:r>
          </w:p>
        </w:tc>
        <w:tc>
          <w:tcPr>
            <w:tcW w:w="3135" w:type="dxa"/>
          </w:tcPr>
          <w:p w14:paraId="21AA3552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10.94%</w:t>
            </w:r>
          </w:p>
        </w:tc>
        <w:tc>
          <w:tcPr>
            <w:tcW w:w="3135" w:type="dxa"/>
          </w:tcPr>
          <w:p w14:paraId="19CC4FCD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10.43%</w:t>
            </w:r>
          </w:p>
        </w:tc>
      </w:tr>
      <w:tr w:rsidR="001E6961" w14:paraId="00E271E3" w14:textId="77777777">
        <w:tc>
          <w:tcPr>
            <w:tcW w:w="3135" w:type="dxa"/>
          </w:tcPr>
          <w:p w14:paraId="76426EAD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300-900k</w:t>
            </w:r>
          </w:p>
        </w:tc>
        <w:tc>
          <w:tcPr>
            <w:tcW w:w="3135" w:type="dxa"/>
          </w:tcPr>
          <w:p w14:paraId="6D9CE260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8.56%</w:t>
            </w:r>
          </w:p>
        </w:tc>
        <w:tc>
          <w:tcPr>
            <w:tcW w:w="3135" w:type="dxa"/>
          </w:tcPr>
          <w:p w14:paraId="36A55CB6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8.29%</w:t>
            </w:r>
          </w:p>
        </w:tc>
      </w:tr>
      <w:tr w:rsidR="001E6961" w14:paraId="6FCC9C74" w14:textId="77777777">
        <w:tc>
          <w:tcPr>
            <w:tcW w:w="3135" w:type="dxa"/>
          </w:tcPr>
          <w:p w14:paraId="0A37B4AF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&gt;900k</w:t>
            </w:r>
          </w:p>
        </w:tc>
        <w:tc>
          <w:tcPr>
            <w:tcW w:w="3135" w:type="dxa"/>
          </w:tcPr>
          <w:p w14:paraId="161B5F4A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4.07%</w:t>
            </w:r>
          </w:p>
        </w:tc>
        <w:tc>
          <w:tcPr>
            <w:tcW w:w="3135" w:type="dxa"/>
          </w:tcPr>
          <w:p w14:paraId="33236453" w14:textId="77777777" w:rsidR="001E6961" w:rsidRDefault="00000000" w:rsidP="0050224C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4.03%</w:t>
            </w:r>
          </w:p>
        </w:tc>
      </w:tr>
    </w:tbl>
    <w:p w14:paraId="179AFD99" w14:textId="77777777" w:rsidR="001E6961" w:rsidRDefault="001E6961"/>
    <w:p w14:paraId="2FFFA495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b/>
          <w:lang w:val="pt-BR"/>
        </w:rPr>
        <w:t>Principais variáveis do desafiante (importância no LightGBM):</w:t>
      </w:r>
    </w:p>
    <w:p w14:paraId="7D59C556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lang w:val="pt-BR"/>
        </w:rPr>
        <w:t>LOG_AREA (8850) · VAR_TENDENCIA (8323) · KNN_PROXY (7192) · IDADE_NA_TRANSACAO_IMP (5545) · VLCOORDGEOY (4997) · VLCOORDGEOX (4757) · NUPAVIMENTOS (4086) · CDSETORFISCAL (3332)</w:t>
      </w:r>
    </w:p>
    <w:p w14:paraId="77F472F1" w14:textId="77777777" w:rsidR="001E6961" w:rsidRPr="0050224C" w:rsidRDefault="00000000">
      <w:pPr>
        <w:pStyle w:val="Ttulo1"/>
        <w:rPr>
          <w:lang w:val="pt-BR"/>
        </w:rPr>
      </w:pPr>
      <w:r w:rsidRPr="0050224C">
        <w:rPr>
          <w:rFonts w:ascii="Calibri" w:eastAsia="Calibri" w:hAnsi="Calibri"/>
          <w:sz w:val="32"/>
          <w:lang w:val="pt-BR"/>
        </w:rPr>
        <w:t>4. Recomendação</w:t>
      </w:r>
    </w:p>
    <w:p w14:paraId="77EA8DBF" w14:textId="77777777" w:rsidR="001E6961" w:rsidRPr="0050224C" w:rsidRDefault="00000000" w:rsidP="0050224C">
      <w:pPr>
        <w:spacing w:after="160"/>
        <w:jc w:val="both"/>
        <w:rPr>
          <w:lang w:val="pt-BR"/>
        </w:rPr>
      </w:pPr>
      <w:r w:rsidRPr="0050224C">
        <w:rPr>
          <w:rFonts w:ascii="Calibri" w:eastAsia="Calibri" w:hAnsi="Calibri"/>
          <w:lang w:val="pt-BR"/>
        </w:rPr>
        <w:t>Manter o modelo aprovado em produção. Tratar o desafiante com idade como candidato a substituição, após revisão SELAN (holdout completo, resíduos espaciais e reprocessamento do status Compatível).</w:t>
      </w:r>
    </w:p>
    <w:p w14:paraId="48711296" w14:textId="77777777" w:rsidR="0050224C" w:rsidRDefault="00000000" w:rsidP="0050224C">
      <w:pPr>
        <w:spacing w:after="160"/>
        <w:jc w:val="both"/>
        <w:rPr>
          <w:rFonts w:ascii="Calibri" w:eastAsia="Calibri" w:hAnsi="Calibri"/>
          <w:lang w:val="pt-BR"/>
        </w:rPr>
      </w:pPr>
      <w:r w:rsidRPr="0050224C">
        <w:rPr>
          <w:rFonts w:ascii="Calibri" w:eastAsia="Calibri" w:hAnsi="Calibri"/>
          <w:lang w:val="pt-BR"/>
        </w:rPr>
        <w:t>Próximos passos sugeridos:</w:t>
      </w:r>
    </w:p>
    <w:p w14:paraId="03FF7576" w14:textId="77777777" w:rsidR="0050224C" w:rsidRDefault="00000000" w:rsidP="0050224C">
      <w:pPr>
        <w:pStyle w:val="PargrafodaLista"/>
        <w:numPr>
          <w:ilvl w:val="0"/>
          <w:numId w:val="10"/>
        </w:numPr>
        <w:tabs>
          <w:tab w:val="left" w:pos="284"/>
        </w:tabs>
        <w:spacing w:after="160"/>
        <w:ind w:left="284" w:hanging="284"/>
        <w:jc w:val="both"/>
        <w:rPr>
          <w:rFonts w:ascii="Calibri" w:eastAsia="Calibri" w:hAnsi="Calibri"/>
          <w:lang w:val="pt-BR"/>
        </w:rPr>
      </w:pPr>
      <w:r w:rsidRPr="0050224C">
        <w:rPr>
          <w:rFonts w:ascii="Calibri" w:eastAsia="Calibri" w:hAnsi="Calibri"/>
          <w:lang w:val="pt-BR"/>
        </w:rPr>
        <w:t>Reprocessar o status Compatível com o desafiante e repetir as tabelas do item 1.</w:t>
      </w:r>
    </w:p>
    <w:p w14:paraId="7B78F410" w14:textId="77777777" w:rsidR="0050224C" w:rsidRPr="0050224C" w:rsidRDefault="00000000" w:rsidP="0050224C">
      <w:pPr>
        <w:pStyle w:val="PargrafodaLista"/>
        <w:numPr>
          <w:ilvl w:val="0"/>
          <w:numId w:val="10"/>
        </w:numPr>
        <w:tabs>
          <w:tab w:val="left" w:pos="284"/>
        </w:tabs>
        <w:spacing w:after="160"/>
        <w:ind w:left="284" w:hanging="284"/>
        <w:jc w:val="both"/>
        <w:rPr>
          <w:lang w:val="pt-BR"/>
        </w:rPr>
      </w:pPr>
      <w:r w:rsidRPr="0050224C">
        <w:rPr>
          <w:rFonts w:ascii="Calibri" w:eastAsia="Calibri" w:hAnsi="Calibri"/>
          <w:lang w:val="pt-BR"/>
        </w:rPr>
        <w:t>Se a equipe validar: dossiê SELAN + novo manifesto de congelamento.</w:t>
      </w:r>
    </w:p>
    <w:p w14:paraId="5CA21147" w14:textId="77777777" w:rsidR="0050224C" w:rsidRPr="0050224C" w:rsidRDefault="00000000" w:rsidP="0050224C">
      <w:pPr>
        <w:pStyle w:val="PargrafodaLista"/>
        <w:numPr>
          <w:ilvl w:val="0"/>
          <w:numId w:val="10"/>
        </w:numPr>
        <w:tabs>
          <w:tab w:val="left" w:pos="284"/>
        </w:tabs>
        <w:spacing w:after="160"/>
        <w:ind w:left="284" w:hanging="284"/>
        <w:jc w:val="both"/>
        <w:rPr>
          <w:lang w:val="pt-BR"/>
        </w:rPr>
      </w:pPr>
      <w:r w:rsidRPr="0050224C">
        <w:rPr>
          <w:rFonts w:ascii="Calibri" w:eastAsia="Calibri" w:hAnsi="Calibri"/>
          <w:lang w:val="pt-BR"/>
        </w:rPr>
        <w:t>Se o ganho no estoque antigo for insuficiente: testar interação idade × setor fiscal.</w:t>
      </w:r>
    </w:p>
    <w:p w14:paraId="7C4CBE83" w14:textId="0E82C9DE" w:rsidR="001E6961" w:rsidRPr="0050224C" w:rsidRDefault="00000000" w:rsidP="0050224C">
      <w:pPr>
        <w:pStyle w:val="PargrafodaLista"/>
        <w:numPr>
          <w:ilvl w:val="0"/>
          <w:numId w:val="10"/>
        </w:numPr>
        <w:tabs>
          <w:tab w:val="left" w:pos="284"/>
        </w:tabs>
        <w:spacing w:after="160"/>
        <w:ind w:left="284" w:hanging="284"/>
        <w:jc w:val="both"/>
        <w:rPr>
          <w:lang w:val="pt-BR"/>
        </w:rPr>
      </w:pPr>
      <w:r w:rsidRPr="0050224C">
        <w:rPr>
          <w:rFonts w:ascii="Calibri" w:eastAsia="Calibri" w:hAnsi="Calibri"/>
          <w:lang w:val="pt-BR"/>
        </w:rPr>
        <w:t>Depois de fechar apartamentos, estender o uso do nascimento a salas comerciais.</w:t>
      </w:r>
    </w:p>
    <w:p w14:paraId="2735979C" w14:textId="77777777" w:rsidR="001E6961" w:rsidRPr="0050224C" w:rsidRDefault="00000000">
      <w:pPr>
        <w:pStyle w:val="Ttulo1"/>
        <w:rPr>
          <w:lang w:val="pt-BR"/>
        </w:rPr>
      </w:pPr>
      <w:r w:rsidRPr="0050224C">
        <w:rPr>
          <w:rFonts w:ascii="Calibri" w:eastAsia="Calibri" w:hAnsi="Calibri"/>
          <w:sz w:val="32"/>
          <w:lang w:val="pt-BR"/>
        </w:rPr>
        <w:t>5. Onde estão os arquivos</w:t>
      </w:r>
    </w:p>
    <w:p w14:paraId="4E06046D" w14:textId="77777777" w:rsidR="001E6961" w:rsidRPr="0050224C" w:rsidRDefault="00000000">
      <w:pPr>
        <w:spacing w:after="160"/>
        <w:rPr>
          <w:lang w:val="pt-BR"/>
        </w:rPr>
      </w:pPr>
      <w:r w:rsidRPr="0050224C">
        <w:rPr>
          <w:rFonts w:ascii="Calibri" w:eastAsia="Calibri" w:hAnsi="Calibri"/>
          <w:lang w:val="pt-BR"/>
        </w:rPr>
        <w:t>Pasta: ITIV\desafiante_idade\saida\</w:t>
      </w:r>
      <w:r w:rsidRPr="0050224C">
        <w:rPr>
          <w:rFonts w:ascii="Calibri" w:eastAsia="Calibri" w:hAnsi="Calibri"/>
          <w:lang w:val="pt-BR"/>
        </w:rPr>
        <w:br/>
        <w:t>• diagnostico_idade_</w:t>
      </w:r>
      <w:proofErr w:type="gramStart"/>
      <w:r w:rsidRPr="0050224C">
        <w:rPr>
          <w:rFonts w:ascii="Calibri" w:eastAsia="Calibri" w:hAnsi="Calibri"/>
          <w:lang w:val="pt-BR"/>
        </w:rPr>
        <w:t>status.json</w:t>
      </w:r>
      <w:proofErr w:type="gramEnd"/>
      <w:r w:rsidRPr="0050224C">
        <w:rPr>
          <w:rFonts w:ascii="Calibri" w:eastAsia="Calibri" w:hAnsi="Calibri"/>
          <w:lang w:val="pt-BR"/>
        </w:rPr>
        <w:t xml:space="preserve"> / CSVs e gráficos</w:t>
      </w:r>
      <w:r w:rsidRPr="0050224C">
        <w:rPr>
          <w:rFonts w:ascii="Calibri" w:eastAsia="Calibri" w:hAnsi="Calibri"/>
          <w:lang w:val="pt-BR"/>
        </w:rPr>
        <w:br/>
        <w:t>• modelo_lightgbm_apartamentos_com_idade.txt (experimental)</w:t>
      </w:r>
      <w:r w:rsidRPr="0050224C">
        <w:rPr>
          <w:rFonts w:ascii="Calibri" w:eastAsia="Calibri" w:hAnsi="Calibri"/>
          <w:lang w:val="pt-BR"/>
        </w:rPr>
        <w:br/>
        <w:t>• comparativo_baseline_</w:t>
      </w:r>
      <w:proofErr w:type="gramStart"/>
      <w:r w:rsidRPr="0050224C">
        <w:rPr>
          <w:rFonts w:ascii="Calibri" w:eastAsia="Calibri" w:hAnsi="Calibri"/>
          <w:lang w:val="pt-BR"/>
        </w:rPr>
        <w:t>desafiante.json</w:t>
      </w:r>
      <w:proofErr w:type="gramEnd"/>
      <w:r w:rsidRPr="0050224C">
        <w:rPr>
          <w:rFonts w:ascii="Calibri" w:eastAsia="Calibri" w:hAnsi="Calibri"/>
          <w:lang w:val="pt-BR"/>
        </w:rPr>
        <w:br/>
        <w:t>• Versão Markdown desta nota na mesma pasta e na raiz de ITIV.</w:t>
      </w:r>
    </w:p>
    <w:p w14:paraId="57E4B1BF" w14:textId="77777777" w:rsidR="001E6961" w:rsidRPr="0050224C" w:rsidRDefault="00000000" w:rsidP="0050224C">
      <w:pPr>
        <w:spacing w:after="160"/>
        <w:jc w:val="both"/>
        <w:rPr>
          <w:lang w:val="pt-BR"/>
        </w:rPr>
      </w:pPr>
      <w:r w:rsidRPr="0050224C">
        <w:rPr>
          <w:rFonts w:ascii="Calibri" w:eastAsia="Calibri" w:hAnsi="Calibri"/>
          <w:sz w:val="18"/>
          <w:lang w:val="pt-BR"/>
        </w:rPr>
        <w:t>Documento gerado automaticamente a partir dos resultados do pipeline desafiante_idade/pipeline_idade_apartamentos.py — SELAN / Coordenadoria de Inteligência Fiscal.</w:t>
      </w:r>
    </w:p>
    <w:sectPr w:rsidR="001E6961" w:rsidRPr="0050224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805F87"/>
    <w:multiLevelType w:val="hybridMultilevel"/>
    <w:tmpl w:val="7C764A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851699">
    <w:abstractNumId w:val="8"/>
  </w:num>
  <w:num w:numId="2" w16cid:durableId="726688678">
    <w:abstractNumId w:val="6"/>
  </w:num>
  <w:num w:numId="3" w16cid:durableId="455833010">
    <w:abstractNumId w:val="5"/>
  </w:num>
  <w:num w:numId="4" w16cid:durableId="940599854">
    <w:abstractNumId w:val="4"/>
  </w:num>
  <w:num w:numId="5" w16cid:durableId="1454251833">
    <w:abstractNumId w:val="7"/>
  </w:num>
  <w:num w:numId="6" w16cid:durableId="703364797">
    <w:abstractNumId w:val="3"/>
  </w:num>
  <w:num w:numId="7" w16cid:durableId="674922310">
    <w:abstractNumId w:val="2"/>
  </w:num>
  <w:num w:numId="8" w16cid:durableId="526259288">
    <w:abstractNumId w:val="1"/>
  </w:num>
  <w:num w:numId="9" w16cid:durableId="1643004917">
    <w:abstractNumId w:val="0"/>
  </w:num>
  <w:num w:numId="10" w16cid:durableId="357660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961"/>
    <w:rsid w:val="0029639D"/>
    <w:rsid w:val="00326F90"/>
    <w:rsid w:val="0050224C"/>
    <w:rsid w:val="00AA1D8D"/>
    <w:rsid w:val="00B47730"/>
    <w:rsid w:val="00BF22B2"/>
    <w:rsid w:val="00CB0664"/>
    <w:rsid w:val="00FB0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41EB24"/>
  <w14:defaultImageDpi w14:val="300"/>
  <w15:docId w15:val="{965375E7-0FE0-45D7-B405-E5580036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708</Words>
  <Characters>3827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Sidnei de Oliveira Rafael</cp:lastModifiedBy>
  <cp:revision>3</cp:revision>
  <dcterms:created xsi:type="dcterms:W3CDTF">2013-12-23T23:15:00Z</dcterms:created>
  <dcterms:modified xsi:type="dcterms:W3CDTF">2026-08-10T14:52:00Z</dcterms:modified>
  <cp:category/>
</cp:coreProperties>
</file>