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Resumo executivo — Modelo candidato (idade + inscrição relativa)</w:t>
      </w:r>
    </w:p>
    <w:p>
      <w:r>
        <w:rPr>
          <w:b/>
          <w:sz w:val="20"/>
        </w:rPr>
        <w:t>Para avaliação do Selan — NÃO substitui o modelo aprovado em 14/07/2026.</w:t>
      </w:r>
    </w:p>
    <w:p>
      <w:pPr>
        <w:pStyle w:val="Heading2"/>
      </w:pPr>
      <w:r>
        <w:t>Em uma frase</w:t>
      </w:r>
    </w:p>
    <w:p>
      <w:r>
        <w:t>O candidato usa a idade do imóvel e a posição da inscrição no bairro para errar menos nos apartamentos antigos, sem piorar os novos.</w:t>
      </w:r>
    </w:p>
    <w:p>
      <w:pPr>
        <w:pStyle w:val="Heading2"/>
      </w:pPr>
      <w:r>
        <w:t>Por que existe</w:t>
      </w:r>
    </w:p>
    <w:p>
      <w:r>
        <w:t>O modelo aprovado acerta mais nos imóveis novos. Nos antigos, a taxa de “Compatível” era bem menor e mais casos iam para auditoria. A idade (quando existe) e a inscrição relativa no setor corrigem essa assimetria.</w:t>
      </w:r>
    </w:p>
    <w:p>
      <w:pPr>
        <w:pStyle w:val="Heading2"/>
      </w:pPr>
      <w:r>
        <w:t>Números no teste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21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Erro típico (COD mediano)</w:t>
            </w:r>
          </w:p>
        </w:tc>
        <w:tc>
          <w:tcPr>
            <w:tcW w:type="dxa" w:w="321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Erro nos antigos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Baseline (aprovado)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6.53%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10.82%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Candidato idade+relativa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6.38%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9.68%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Alternativa idade+abs+rel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6.39%</w:t>
            </w:r>
          </w:p>
        </w:tc>
        <w:tc>
          <w:tcPr>
            <w:tcW w:type="dxa" w:w="3211"/>
          </w:tcPr>
          <w:p>
            <w:r>
              <w:rPr>
                <w:rFonts w:ascii="Arial" w:hAnsi="Arial"/>
                <w:sz w:val="18"/>
              </w:rPr>
              <w:t>9.58%</w:t>
            </w:r>
          </w:p>
        </w:tc>
      </w:tr>
    </w:tbl>
    <w:p/>
    <w:p>
      <w:pPr>
        <w:pStyle w:val="Heading2"/>
      </w:pPr>
      <w:r>
        <w:t>Status Compatível nos antigos (regra ±15%)</w:t>
      </w:r>
    </w:p>
    <w:p>
      <w:r>
        <w:t>Nos imóveis de inscrição baixa (&lt;300k), o Compatível sobe de cerca de 74% para cerca de 81%, e cai a parcela enviada a auditor.</w:t>
      </w:r>
    </w:p>
    <w:p>
      <w:pPr>
        <w:pStyle w:val="Heading2"/>
      </w:pPr>
      <w:r>
        <w:t>O que pedimos ao Selan</w:t>
      </w:r>
    </w:p>
    <w:p>
      <w:pPr>
        <w:pStyle w:val="ListNumber"/>
      </w:pPr>
      <w:r>
        <w:t>Autorizar este pacote como candidato oficial a promoção.</w:t>
      </w:r>
    </w:p>
    <w:p>
      <w:pPr>
        <w:pStyle w:val="ListNumber"/>
      </w:pPr>
      <w:r>
        <w:t>Indicar se prefere o candidato (melhor no geral) ou a alternativa (melhor nos antigos).</w:t>
      </w:r>
    </w:p>
    <w:p>
      <w:pPr>
        <w:pStyle w:val="ListNumber"/>
      </w:pPr>
      <w:r>
        <w:t>Autorizar a Etapa 5 completa e a regeneração do lote/status antes de trocar a produção.</w:t>
      </w:r>
    </w:p>
    <w:p/>
    <w:p>
      <w:r>
        <w:rPr>
          <w:i/>
          <w:sz w:val="18"/>
        </w:rPr>
        <w:t>Enquanto isso, o modelo aprovado em 14/07/2026 permanece o oficial. Pasta: Modelo_Apartamentos_Candidato_Idade_20260811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