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0"/>
        <w:jc w:val="center"/>
      </w:pPr>
      <w:r>
        <w:rPr>
          <w:rFonts w:ascii="Calibri" w:hAnsi="Calibri" w:eastAsia="Calibri"/>
          <w:b/>
          <w:sz w:val="32"/>
        </w:rPr>
        <w:t>Nota técnica — A/B inscrição × idade no modelo de apartamentos (ITIV)</w:t>
      </w:r>
    </w:p>
    <w:p>
      <w:pPr>
        <w:spacing w:after="160" w:before="0"/>
        <w:jc w:val="center"/>
      </w:pPr>
      <w:r>
        <w:rPr>
          <w:rFonts w:ascii="Calibri" w:hAnsi="Calibri" w:eastAsia="Calibri"/>
          <w:b w:val="0"/>
          <w:sz w:val="22"/>
        </w:rPr>
        <w:t>Teste da proposta de Gabriel Ramos: usar o número de inscrição como proxy de idade (cobertura plena), comparado à idade do Nascimento Imóvel</w:t>
      </w:r>
    </w:p>
    <w:p>
      <w:pPr>
        <w:spacing w:after="160" w:before="0"/>
        <w:jc w:val="center"/>
      </w:pPr>
      <w:r>
        <w:rPr>
          <w:rFonts w:ascii="Calibri" w:hAnsi="Calibri" w:eastAsia="Calibri"/>
          <w:b w:val="0"/>
          <w:sz w:val="20"/>
        </w:rPr>
        <w:t>SELAN / SEFAZ Salvador  ·  10/08/2026</w:t>
        <w:br/>
        <w:t>Referência: mensagens Gabriel Ramos (10/08/2026) e achado de David sobre inscrição &gt; 900 mil</w:t>
        <w:br/>
        <w:t>Modelo aprovado permanece congelado; este é experimento desafiante</w:t>
      </w:r>
    </w:p>
    <w:p>
      <w:pPr>
        <w:pStyle w:val="Heading1"/>
      </w:pPr>
      <w:r>
        <w:rPr>
          <w:rFonts w:ascii="Calibri" w:hAnsi="Calibri" w:eastAsia="Calibri"/>
          <w:b/>
          <w:sz w:val="32"/>
        </w:rPr>
        <w:t>Resumo em linguagem simples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Gabriel sugeriu: em vez de depender só do ano de construção (que falta em cerca de 23% dos casos), usar o número de inscrição imobiliária — que quase todos têm — como medida de “quão novo” é o imóvel.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Testamos quatro modelos no mesmo holdout: (1) o aprovado (sem idade), (2) só inscrição, (3) só idade do nascimento, (4) idade + inscrição. A inscrição sozinha já melhora o modelo; a idade sozinha melhora um pouco mais; as duas juntas ficam no topo, com ganho extra pequeno.</w:t>
      </w:r>
    </w:p>
    <w:p>
      <w:pPr>
        <w:spacing w:after="160" w:before="0"/>
      </w:pPr>
      <w:r>
        <w:rPr>
          <w:rFonts w:ascii="Calibri" w:hAnsi="Calibri" w:eastAsia="Calibri"/>
          <w:b/>
          <w:sz w:val="22"/>
        </w:rPr>
        <w:t>Melhor candidato neste teste: «idade_mais_inscricao» (COD mediano = 6,434%).</w:t>
      </w:r>
    </w:p>
    <w:p>
      <w:pPr>
        <w:pStyle w:val="Heading1"/>
      </w:pPr>
      <w:r>
        <w:rPr>
          <w:rFonts w:ascii="Calibri" w:hAnsi="Calibri" w:eastAsia="Calibri"/>
          <w:b/>
          <w:sz w:val="32"/>
        </w:rPr>
        <w:t>Desenho do teste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Feature de inscrição: LOG_INSCRICAO = log1p(CDINSCRICAOIMOB).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Features de idade: IDADE_NA_TRANSACAO_IMP, FLAG_ANO_AUSENTE, FLAG_ANO_INVALIDO (fonte: Nascimento Imovel.csv).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Cobertura no pool de treino: idade ≈ 76,5%; log(inscrição) ≈ 100,0%.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Mesmos hiperparâmetros LightGBM do modelo aprovado; Chauvenet + KNN iguais para todas as variantes (comparação justa).</w:t>
      </w:r>
    </w:p>
    <w:p>
      <w:pPr>
        <w:pStyle w:val="Heading1"/>
      </w:pPr>
      <w:r>
        <w:rPr>
          <w:rFonts w:ascii="Calibri" w:hAnsi="Calibri" w:eastAsia="Calibri"/>
          <w:b/>
          <w:sz w:val="32"/>
        </w:rPr>
        <w:t>Resultado global (holdout)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F4E79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Modelo</w:t>
            </w:r>
          </w:p>
        </w:tc>
        <w:tc>
          <w:tcPr>
            <w:tcW w:type="dxa" w:w="1881"/>
            <w:shd w:fill="1F4E79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COD mediano</w:t>
            </w:r>
          </w:p>
        </w:tc>
        <w:tc>
          <w:tcPr>
            <w:tcW w:type="dxa" w:w="1881"/>
            <w:shd w:fill="1F4E79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Δ vs baseline</w:t>
            </w:r>
          </w:p>
        </w:tc>
        <w:tc>
          <w:tcPr>
            <w:tcW w:type="dxa" w:w="1881"/>
            <w:shd w:fill="1F4E79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COD</w:t>
            </w:r>
          </w:p>
        </w:tc>
        <w:tc>
          <w:tcPr>
            <w:tcW w:type="dxa" w:w="1881"/>
            <w:shd w:fill="1F4E79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PRD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 w:eastAsia="Calibri"/>
                <w:b w:val="0"/>
                <w:sz w:val="20"/>
              </w:rPr>
              <w:t>Idade + inscrição</w:t>
            </w:r>
          </w:p>
        </w:tc>
        <w:tc>
          <w:tcPr>
            <w:tcW w:type="dxa" w:w="1881"/>
          </w:tcPr>
          <w:p>
            <w:r>
              <w:rPr>
                <w:rFonts w:ascii="Calibri" w:hAnsi="Calibri" w:eastAsia="Calibri"/>
                <w:b w:val="0"/>
                <w:sz w:val="20"/>
              </w:rPr>
              <w:t>6,434%</w:t>
            </w:r>
          </w:p>
        </w:tc>
        <w:tc>
          <w:tcPr>
            <w:tcW w:type="dxa" w:w="1881"/>
          </w:tcPr>
          <w:p>
            <w:r>
              <w:rPr>
                <w:rFonts w:ascii="Calibri" w:hAnsi="Calibri" w:eastAsia="Calibri"/>
                <w:b w:val="0"/>
                <w:sz w:val="20"/>
              </w:rPr>
              <w:t>+0,096 pp</w:t>
            </w:r>
          </w:p>
        </w:tc>
        <w:tc>
          <w:tcPr>
            <w:tcW w:type="dxa" w:w="1881"/>
          </w:tcPr>
          <w:p>
            <w:r>
              <w:rPr>
                <w:rFonts w:ascii="Calibri" w:hAnsi="Calibri" w:eastAsia="Calibri"/>
                <w:b w:val="0"/>
                <w:sz w:val="20"/>
              </w:rPr>
              <w:t>9,19%</w:t>
            </w:r>
          </w:p>
        </w:tc>
        <w:tc>
          <w:tcPr>
            <w:tcW w:type="dxa" w:w="1881"/>
          </w:tcPr>
          <w:p>
            <w:r>
              <w:rPr>
                <w:rFonts w:ascii="Calibri" w:hAnsi="Calibri" w:eastAsia="Calibri"/>
                <w:b w:val="0"/>
                <w:sz w:val="20"/>
              </w:rPr>
              <w:t>1,0161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 w:eastAsia="Calibri"/>
                <w:b w:val="0"/>
                <w:sz w:val="20"/>
              </w:rPr>
              <w:t>Só idade</w:t>
            </w:r>
          </w:p>
        </w:tc>
        <w:tc>
          <w:tcPr>
            <w:tcW w:type="dxa" w:w="1881"/>
          </w:tcPr>
          <w:p>
            <w:r>
              <w:rPr>
                <w:rFonts w:ascii="Calibri" w:hAnsi="Calibri" w:eastAsia="Calibri"/>
                <w:b w:val="0"/>
                <w:sz w:val="20"/>
              </w:rPr>
              <w:t>6,438%</w:t>
            </w:r>
          </w:p>
        </w:tc>
        <w:tc>
          <w:tcPr>
            <w:tcW w:type="dxa" w:w="1881"/>
          </w:tcPr>
          <w:p>
            <w:r>
              <w:rPr>
                <w:rFonts w:ascii="Calibri" w:hAnsi="Calibri" w:eastAsia="Calibri"/>
                <w:b w:val="0"/>
                <w:sz w:val="20"/>
              </w:rPr>
              <w:t>+0,092 pp</w:t>
            </w:r>
          </w:p>
        </w:tc>
        <w:tc>
          <w:tcPr>
            <w:tcW w:type="dxa" w:w="1881"/>
          </w:tcPr>
          <w:p>
            <w:r>
              <w:rPr>
                <w:rFonts w:ascii="Calibri" w:hAnsi="Calibri" w:eastAsia="Calibri"/>
                <w:b w:val="0"/>
                <w:sz w:val="20"/>
              </w:rPr>
              <w:t>9,28%</w:t>
            </w:r>
          </w:p>
        </w:tc>
        <w:tc>
          <w:tcPr>
            <w:tcW w:type="dxa" w:w="1881"/>
          </w:tcPr>
          <w:p>
            <w:r>
              <w:rPr>
                <w:rFonts w:ascii="Calibri" w:hAnsi="Calibri" w:eastAsia="Calibri"/>
                <w:b w:val="0"/>
                <w:sz w:val="20"/>
              </w:rPr>
              <w:t>1,0162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 w:eastAsia="Calibri"/>
                <w:b w:val="0"/>
                <w:sz w:val="20"/>
              </w:rPr>
              <w:t>Só inscrição</w:t>
            </w:r>
          </w:p>
        </w:tc>
        <w:tc>
          <w:tcPr>
            <w:tcW w:type="dxa" w:w="1881"/>
          </w:tcPr>
          <w:p>
            <w:r>
              <w:rPr>
                <w:rFonts w:ascii="Calibri" w:hAnsi="Calibri" w:eastAsia="Calibri"/>
                <w:b w:val="0"/>
                <w:sz w:val="20"/>
              </w:rPr>
              <w:t>6,467%</w:t>
            </w:r>
          </w:p>
        </w:tc>
        <w:tc>
          <w:tcPr>
            <w:tcW w:type="dxa" w:w="1881"/>
          </w:tcPr>
          <w:p>
            <w:r>
              <w:rPr>
                <w:rFonts w:ascii="Calibri" w:hAnsi="Calibri" w:eastAsia="Calibri"/>
                <w:b w:val="0"/>
                <w:sz w:val="20"/>
              </w:rPr>
              <w:t>+0,063 pp</w:t>
            </w:r>
          </w:p>
        </w:tc>
        <w:tc>
          <w:tcPr>
            <w:tcW w:type="dxa" w:w="1881"/>
          </w:tcPr>
          <w:p>
            <w:r>
              <w:rPr>
                <w:rFonts w:ascii="Calibri" w:hAnsi="Calibri" w:eastAsia="Calibri"/>
                <w:b w:val="0"/>
                <w:sz w:val="20"/>
              </w:rPr>
              <w:t>9,27%</w:t>
            </w:r>
          </w:p>
        </w:tc>
        <w:tc>
          <w:tcPr>
            <w:tcW w:type="dxa" w:w="1881"/>
          </w:tcPr>
          <w:p>
            <w:r>
              <w:rPr>
                <w:rFonts w:ascii="Calibri" w:hAnsi="Calibri" w:eastAsia="Calibri"/>
                <w:b w:val="0"/>
                <w:sz w:val="20"/>
              </w:rPr>
              <w:t>1,0157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 w:eastAsia="Calibri"/>
                <w:b w:val="0"/>
                <w:sz w:val="20"/>
              </w:rPr>
              <w:t>Baseline (aprovado)</w:t>
            </w:r>
          </w:p>
        </w:tc>
        <w:tc>
          <w:tcPr>
            <w:tcW w:type="dxa" w:w="1881"/>
          </w:tcPr>
          <w:p>
            <w:r>
              <w:rPr>
                <w:rFonts w:ascii="Calibri" w:hAnsi="Calibri" w:eastAsia="Calibri"/>
                <w:b w:val="0"/>
                <w:sz w:val="20"/>
              </w:rPr>
              <w:t>6,530%</w:t>
            </w:r>
          </w:p>
        </w:tc>
        <w:tc>
          <w:tcPr>
            <w:tcW w:type="dxa" w:w="1881"/>
          </w:tcPr>
          <w:p>
            <w:r>
              <w:rPr>
                <w:rFonts w:ascii="Calibri" w:hAnsi="Calibri" w:eastAsia="Calibri"/>
                <w:b w:val="0"/>
                <w:sz w:val="20"/>
              </w:rPr>
              <w:t>+0,000 pp</w:t>
            </w:r>
          </w:p>
        </w:tc>
        <w:tc>
          <w:tcPr>
            <w:tcW w:type="dxa" w:w="1881"/>
          </w:tcPr>
          <w:p>
            <w:r>
              <w:rPr>
                <w:rFonts w:ascii="Calibri" w:hAnsi="Calibri" w:eastAsia="Calibri"/>
                <w:b w:val="0"/>
                <w:sz w:val="20"/>
              </w:rPr>
              <w:t>9,60%</w:t>
            </w:r>
          </w:p>
        </w:tc>
        <w:tc>
          <w:tcPr>
            <w:tcW w:type="dxa" w:w="1881"/>
          </w:tcPr>
          <w:p>
            <w:r>
              <w:rPr>
                <w:rFonts w:ascii="Calibri" w:hAnsi="Calibri" w:eastAsia="Calibri"/>
                <w:b w:val="0"/>
                <w:sz w:val="20"/>
              </w:rPr>
              <w:t>1,0175</w:t>
            </w:r>
          </w:p>
        </w:tc>
      </w:tr>
    </w:tbl>
    <w:p/>
    <w:p>
      <w:pPr>
        <w:spacing w:after="160" w:before="0"/>
      </w:pPr>
      <w:r>
        <w:rPr>
          <w:rFonts w:ascii="Calibri" w:hAnsi="Calibri" w:eastAsia="Calibri"/>
          <w:b w:val="0"/>
          <w:sz w:val="20"/>
        </w:rPr>
        <w:t>Baseline COD mediano = 6,530%. Valores menores de COD são melhores.</w:t>
      </w:r>
    </w:p>
    <w:p>
      <w:pPr>
        <w:pStyle w:val="Heading1"/>
      </w:pPr>
      <w:r>
        <w:rPr>
          <w:rFonts w:ascii="Calibri" w:hAnsi="Calibri" w:eastAsia="Calibri"/>
          <w:b/>
          <w:sz w:val="32"/>
        </w:rPr>
        <w:t>Por faixa de inscrição e cobertura de ano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Modelo</w:t>
            </w:r>
          </w:p>
        </w:tc>
        <w:tc>
          <w:tcPr>
            <w:tcW w:type="dxa" w:w="1568"/>
            <w:shd w:fill="1F4E79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&lt;300k</w:t>
            </w:r>
          </w:p>
        </w:tc>
        <w:tc>
          <w:tcPr>
            <w:tcW w:type="dxa" w:w="1568"/>
            <w:shd w:fill="1F4E79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300–900k</w:t>
            </w:r>
          </w:p>
        </w:tc>
        <w:tc>
          <w:tcPr>
            <w:tcW w:type="dxa" w:w="1568"/>
            <w:shd w:fill="1F4E79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&gt;900k</w:t>
            </w:r>
          </w:p>
        </w:tc>
        <w:tc>
          <w:tcPr>
            <w:tcW w:type="dxa" w:w="1568"/>
            <w:shd w:fill="1F4E79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Com ano</w:t>
            </w:r>
          </w:p>
        </w:tc>
        <w:tc>
          <w:tcPr>
            <w:tcW w:type="dxa" w:w="1568"/>
            <w:shd w:fill="1F4E79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Sem ano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 w:eastAsia="Calibri"/>
                <w:b w:val="0"/>
                <w:sz w:val="20"/>
              </w:rPr>
              <w:t>Idade + inscrição</w:t>
            </w:r>
          </w:p>
        </w:tc>
        <w:tc>
          <w:tcPr>
            <w:tcW w:type="dxa" w:w="1568"/>
          </w:tcPr>
          <w:p>
            <w:r>
              <w:rPr>
                <w:rFonts w:ascii="Calibri" w:hAnsi="Calibri" w:eastAsia="Calibri"/>
                <w:b w:val="0"/>
                <w:sz w:val="20"/>
              </w:rPr>
              <w:t>9,78%</w:t>
            </w:r>
          </w:p>
        </w:tc>
        <w:tc>
          <w:tcPr>
            <w:tcW w:type="dxa" w:w="1568"/>
          </w:tcPr>
          <w:p>
            <w:r>
              <w:rPr>
                <w:rFonts w:ascii="Calibri" w:hAnsi="Calibri" w:eastAsia="Calibri"/>
                <w:b w:val="0"/>
                <w:sz w:val="20"/>
              </w:rPr>
              <w:t>8,37%</w:t>
            </w:r>
          </w:p>
        </w:tc>
        <w:tc>
          <w:tcPr>
            <w:tcW w:type="dxa" w:w="1568"/>
          </w:tcPr>
          <w:p>
            <w:r>
              <w:rPr>
                <w:rFonts w:ascii="Calibri" w:hAnsi="Calibri" w:eastAsia="Calibri"/>
                <w:b w:val="0"/>
                <w:sz w:val="20"/>
              </w:rPr>
              <w:t>3,98%</w:t>
            </w:r>
          </w:p>
        </w:tc>
        <w:tc>
          <w:tcPr>
            <w:tcW w:type="dxa" w:w="1568"/>
          </w:tcPr>
          <w:p>
            <w:r>
              <w:rPr>
                <w:rFonts w:ascii="Calibri" w:hAnsi="Calibri" w:eastAsia="Calibri"/>
                <w:b w:val="0"/>
                <w:sz w:val="20"/>
              </w:rPr>
              <w:t>6,31%</w:t>
            </w:r>
          </w:p>
        </w:tc>
        <w:tc>
          <w:tcPr>
            <w:tcW w:type="dxa" w:w="1568"/>
          </w:tcPr>
          <w:p>
            <w:r>
              <w:rPr>
                <w:rFonts w:ascii="Calibri" w:hAnsi="Calibri" w:eastAsia="Calibri"/>
                <w:b w:val="0"/>
                <w:sz w:val="20"/>
              </w:rPr>
              <w:t>8,20%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 w:eastAsia="Calibri"/>
                <w:b w:val="0"/>
                <w:sz w:val="20"/>
              </w:rPr>
              <w:t>Só idade</w:t>
            </w:r>
          </w:p>
        </w:tc>
        <w:tc>
          <w:tcPr>
            <w:tcW w:type="dxa" w:w="1568"/>
          </w:tcPr>
          <w:p>
            <w:r>
              <w:rPr>
                <w:rFonts w:ascii="Calibri" w:hAnsi="Calibri" w:eastAsia="Calibri"/>
                <w:b w:val="0"/>
                <w:sz w:val="20"/>
              </w:rPr>
              <w:t>10,39%</w:t>
            </w:r>
          </w:p>
        </w:tc>
        <w:tc>
          <w:tcPr>
            <w:tcW w:type="dxa" w:w="1568"/>
          </w:tcPr>
          <w:p>
            <w:r>
              <w:rPr>
                <w:rFonts w:ascii="Calibri" w:hAnsi="Calibri" w:eastAsia="Calibri"/>
                <w:b w:val="0"/>
                <w:sz w:val="20"/>
              </w:rPr>
              <w:t>8,28%</w:t>
            </w:r>
          </w:p>
        </w:tc>
        <w:tc>
          <w:tcPr>
            <w:tcW w:type="dxa" w:w="1568"/>
          </w:tcPr>
          <w:p>
            <w:r>
              <w:rPr>
                <w:rFonts w:ascii="Calibri" w:hAnsi="Calibri" w:eastAsia="Calibri"/>
                <w:b w:val="0"/>
                <w:sz w:val="20"/>
              </w:rPr>
              <w:t>3,95%</w:t>
            </w:r>
          </w:p>
        </w:tc>
        <w:tc>
          <w:tcPr>
            <w:tcW w:type="dxa" w:w="1568"/>
          </w:tcPr>
          <w:p>
            <w:r>
              <w:rPr>
                <w:rFonts w:ascii="Calibri" w:hAnsi="Calibri" w:eastAsia="Calibri"/>
                <w:b w:val="0"/>
                <w:sz w:val="20"/>
              </w:rPr>
              <w:t>6,31%</w:t>
            </w:r>
          </w:p>
        </w:tc>
        <w:tc>
          <w:tcPr>
            <w:tcW w:type="dxa" w:w="1568"/>
          </w:tcPr>
          <w:p>
            <w:r>
              <w:rPr>
                <w:rFonts w:ascii="Calibri" w:hAnsi="Calibri" w:eastAsia="Calibri"/>
                <w:b w:val="0"/>
                <w:sz w:val="20"/>
              </w:rPr>
              <w:t>8,27%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 w:eastAsia="Calibri"/>
                <w:b w:val="0"/>
                <w:sz w:val="20"/>
              </w:rPr>
              <w:t>Só inscrição</w:t>
            </w:r>
          </w:p>
        </w:tc>
        <w:tc>
          <w:tcPr>
            <w:tcW w:type="dxa" w:w="1568"/>
          </w:tcPr>
          <w:p>
            <w:r>
              <w:rPr>
                <w:rFonts w:ascii="Calibri" w:hAnsi="Calibri" w:eastAsia="Calibri"/>
                <w:b w:val="0"/>
                <w:sz w:val="20"/>
              </w:rPr>
              <w:t>10,28%</w:t>
            </w:r>
          </w:p>
        </w:tc>
        <w:tc>
          <w:tcPr>
            <w:tcW w:type="dxa" w:w="1568"/>
          </w:tcPr>
          <w:p>
            <w:r>
              <w:rPr>
                <w:rFonts w:ascii="Calibri" w:hAnsi="Calibri" w:eastAsia="Calibri"/>
                <w:b w:val="0"/>
                <w:sz w:val="20"/>
              </w:rPr>
              <w:t>8,50%</w:t>
            </w:r>
          </w:p>
        </w:tc>
        <w:tc>
          <w:tcPr>
            <w:tcW w:type="dxa" w:w="1568"/>
          </w:tcPr>
          <w:p>
            <w:r>
              <w:rPr>
                <w:rFonts w:ascii="Calibri" w:hAnsi="Calibri" w:eastAsia="Calibri"/>
                <w:b w:val="0"/>
                <w:sz w:val="20"/>
              </w:rPr>
              <w:t>3,93%</w:t>
            </w:r>
          </w:p>
        </w:tc>
        <w:tc>
          <w:tcPr>
            <w:tcW w:type="dxa" w:w="1568"/>
          </w:tcPr>
          <w:p>
            <w:r>
              <w:rPr>
                <w:rFonts w:ascii="Calibri" w:hAnsi="Calibri" w:eastAsia="Calibri"/>
                <w:b w:val="0"/>
                <w:sz w:val="20"/>
              </w:rPr>
              <w:t>6,31%</w:t>
            </w:r>
          </w:p>
        </w:tc>
        <w:tc>
          <w:tcPr>
            <w:tcW w:type="dxa" w:w="1568"/>
          </w:tcPr>
          <w:p>
            <w:r>
              <w:rPr>
                <w:rFonts w:ascii="Calibri" w:hAnsi="Calibri" w:eastAsia="Calibri"/>
                <w:b w:val="0"/>
                <w:sz w:val="20"/>
              </w:rPr>
              <w:t>8,48%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 w:eastAsia="Calibri"/>
                <w:b w:val="0"/>
                <w:sz w:val="20"/>
              </w:rPr>
              <w:t>Baseline (aprovado)</w:t>
            </w:r>
          </w:p>
        </w:tc>
        <w:tc>
          <w:tcPr>
            <w:tcW w:type="dxa" w:w="1568"/>
          </w:tcPr>
          <w:p>
            <w:r>
              <w:rPr>
                <w:rFonts w:ascii="Calibri" w:hAnsi="Calibri" w:eastAsia="Calibri"/>
                <w:b w:val="0"/>
                <w:sz w:val="20"/>
              </w:rPr>
              <w:t>10,82%</w:t>
            </w:r>
          </w:p>
        </w:tc>
        <w:tc>
          <w:tcPr>
            <w:tcW w:type="dxa" w:w="1568"/>
          </w:tcPr>
          <w:p>
            <w:r>
              <w:rPr>
                <w:rFonts w:ascii="Calibri" w:hAnsi="Calibri" w:eastAsia="Calibri"/>
                <w:b w:val="0"/>
                <w:sz w:val="20"/>
              </w:rPr>
              <w:t>8,64%</w:t>
            </w:r>
          </w:p>
        </w:tc>
        <w:tc>
          <w:tcPr>
            <w:tcW w:type="dxa" w:w="1568"/>
          </w:tcPr>
          <w:p>
            <w:r>
              <w:rPr>
                <w:rFonts w:ascii="Calibri" w:hAnsi="Calibri" w:eastAsia="Calibri"/>
                <w:b w:val="0"/>
                <w:sz w:val="20"/>
              </w:rPr>
              <w:t>4,00%</w:t>
            </w:r>
          </w:p>
        </w:tc>
        <w:tc>
          <w:tcPr>
            <w:tcW w:type="dxa" w:w="1568"/>
          </w:tcPr>
          <w:p>
            <w:r>
              <w:rPr>
                <w:rFonts w:ascii="Calibri" w:hAnsi="Calibri" w:eastAsia="Calibri"/>
                <w:b w:val="0"/>
                <w:sz w:val="20"/>
              </w:rPr>
              <w:t>6,33%</w:t>
            </w:r>
          </w:p>
        </w:tc>
        <w:tc>
          <w:tcPr>
            <w:tcW w:type="dxa" w:w="1568"/>
          </w:tcPr>
          <w:p>
            <w:r>
              <w:rPr>
                <w:rFonts w:ascii="Calibri" w:hAnsi="Calibri" w:eastAsia="Calibri"/>
                <w:b w:val="0"/>
                <w:sz w:val="20"/>
              </w:rPr>
              <w:t>8,96%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sz w:val="32"/>
        </w:rPr>
        <w:t>Interpretação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Gabriel tem razão na direção: só a inscrição já melhora o baseline (cerca de 6,53% → 6,47% no COD mediano) e cobre praticamente 100% das amostras.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A idade do nascimento ainda é um pouco melhor que só a inscrição.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As duas juntas vencem por pouco: sinais quase redundantes, mas complementaridade leve (especialmente em estoque antigo e em quem não tem ano).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Correlação idade × log(inscrição) no pool ≈ −0,83 (inscrição alta ↔ imóvel mais novo): proxy forte, não idêntico.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Nos sem ano de construção, inscrição ajuda frente ao baseline; idade+inscrição chega ao menor erro nessa fatia.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sz w:val="22"/>
        </w:rPr>
        <w:t>Nos antigos (inscrição &lt; 300 mil), idade+inscrição é o melhor.</w:t>
      </w:r>
    </w:p>
    <w:p>
      <w:pPr>
        <w:pStyle w:val="Heading1"/>
      </w:pPr>
      <w:r>
        <w:rPr>
          <w:rFonts w:ascii="Calibri" w:hAnsi="Calibri" w:eastAsia="Calibri"/>
          <w:b/>
          <w:sz w:val="32"/>
        </w:rPr>
        <w:t>Recomendação</w:t>
      </w:r>
    </w:p>
    <w:p>
      <w:pPr>
        <w:spacing w:after="160" w:before="0"/>
      </w:pPr>
      <w:r>
        <w:rPr>
          <w:rFonts w:ascii="Calibri" w:hAnsi="Calibri" w:eastAsia="Calibri"/>
          <w:b/>
          <w:sz w:val="22"/>
        </w:rPr>
        <w:t>Usar a inscrição (log) como feature permanente, pela cobertura total; manter a idade do nascimento quando existir. O candidato desafiante deste teste é idade + inscrição. O modelo aprovado em produção permanece congelado até validação formal da SELAN.</w:t>
      </w:r>
    </w:p>
    <w:p>
      <w:pPr>
        <w:spacing w:after="160" w:before="0"/>
      </w:pPr>
      <w:r>
        <w:rPr>
          <w:rFonts w:ascii="Calibri" w:hAnsi="Calibri" w:eastAsia="Calibri"/>
          <w:b w:val="0"/>
          <w:sz w:val="20"/>
        </w:rPr>
        <w:t>Observação (Gabriel): o ritmo de criação de inscrição muda no tempo e pode introduzir viés de segunda ordem; fica para modelagem futura. O teste SELIC (D0/M3/M6) não mostrou ganho material neste mesmo desenho.</w:t>
      </w:r>
    </w:p>
    <w:p>
      <w:pPr>
        <w:pStyle w:val="Heading1"/>
      </w:pPr>
      <w:r>
        <w:rPr>
          <w:rFonts w:ascii="Calibri" w:hAnsi="Calibri" w:eastAsia="Calibri"/>
          <w:b/>
          <w:sz w:val="32"/>
        </w:rPr>
        <w:t>Arquivos</w:t>
      </w:r>
    </w:p>
    <w:p>
      <w:pPr>
        <w:spacing w:after="160" w:before="0"/>
      </w:pPr>
      <w:r>
        <w:rPr>
          <w:rFonts w:ascii="Calibri" w:hAnsi="Calibri" w:eastAsia="Calibri"/>
          <w:b w:val="0"/>
          <w:sz w:val="20"/>
        </w:rPr>
        <w:t>desafiante_idade/saida/comparativo_inscricao_vs_idade.json</w:t>
        <w:br/>
        <w:t>desafiante_idade/saida/preds_inscricao_vs_idade.csv</w:t>
        <w:br/>
        <w:t>ITIV/Nota_AB_Inscricao_vs_Idade.md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