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rFonts w:ascii="Calibri" w:hAnsi="Calibri" w:eastAsia="Calibri"/>
          <w:b/>
          <w:sz w:val="32"/>
        </w:rPr>
        <w:t>Nota técnica — Idade do imóvel no modelo de apartamentos (ITIV)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sz w:val="24"/>
        </w:rPr>
        <w:t>Adendo analítico ao Relatório de Inteligência Fiscal 114/2026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sz w:val="20"/>
        </w:rPr>
        <w:t>SELAN / SEFAZ Salvador  ·  10/08/2026</w:t>
        <w:br/>
        <w:t>Referência: e-mails Marcos (03/08) e David (04/08/2026)</w:t>
        <w:br/>
        <w:t>Fonte de idade: Nascimento Imovel.csv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Resumo em linguagem simples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David observou que, entre os imóveis em que o modelo “bateu” com a transação (status Compatível), quase metade tem inscrição imobiliária alta (acima de 900 mil). Inscrição alta, em Salvador, costuma indicar imóvel mais novo. Em outras palavras: o modelo acerta mais nos imóveis novos do que nos antigos/depreciados.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Isso faz sentido porque o modelo oficial de apartamentos, aprovado pela equipe, não usa a idade do prédio como variável. Ele olha área, localização, andar e vizinhança. Sem a idade, o modelo “entende” melhor o estoque novo.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Com a planilha Nascimento Imóvel (ano de construção), calculamos a idade na data da venda e treinamos um modelo experimental (desafiante) incluindo essa informação — sem substituir o modelo oficial. O desafiante ficou um pouco melhor no geral e, principalmente, melhor nos imóveis antigos. A idade passou a ser uma das variáveis mais importantes.</w:t>
      </w:r>
    </w:p>
    <w:p>
      <w:pPr>
        <w:spacing w:after="160" w:before="0"/>
      </w:pPr>
      <w:r>
        <w:rPr>
          <w:rFonts w:ascii="Calibri" w:hAnsi="Calibri" w:eastAsia="Calibri"/>
          <w:b/>
          <w:sz w:val="22"/>
        </w:rPr>
        <w:t>Em uma frase: David tem razão; incluir a idade melhora o quadro, mas o modelo oficial só deve ser trocado depois de validação formal da SELAN.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1. Confirmação do achado do David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703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N Compatível (com estimativa do modelo)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79.344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Compatível com inscrição &gt; 900.000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35.296 (44.48%)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% dos Não Compatível com inscrição &gt; 900k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18.81%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Idade mediana — Compatível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12 anos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Idade mediana — Não Compatível*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25 anos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Cobertura de idade na base de status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76.85%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sz w:val="20"/>
        </w:rPr>
        <w:t>*Exceto “Fora de Escopo do Modelo”. O percentual de Compatível com inscrição &gt; 900k (~44,5%) está alinhado à observação de David (~48%).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1.1 % Compatível por faixa de inscrição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Faixa</w:t>
            </w:r>
          </w:p>
        </w:tc>
        <w:tc>
          <w:tcPr>
            <w:tcW w:type="dxa" w:w="15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N</w:t>
            </w:r>
          </w:p>
        </w:tc>
        <w:tc>
          <w:tcPr>
            <w:tcW w:type="dxa" w:w="15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% Compatível</w:t>
            </w:r>
          </w:p>
        </w:tc>
        <w:tc>
          <w:tcPr>
            <w:tcW w:type="dxa" w:w="15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COD mediano</w:t>
            </w:r>
          </w:p>
        </w:tc>
        <w:tc>
          <w:tcPr>
            <w:tcW w:type="dxa" w:w="15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PRD</w:t>
            </w:r>
          </w:p>
        </w:tc>
        <w:tc>
          <w:tcPr>
            <w:tcW w:type="dxa" w:w="15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Idade mediana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&lt;300k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14.383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50.95%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15.0%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1.012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49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300-900k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57.508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63.85%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13.0%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1.039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20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&gt;900k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42.379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83.29%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8.3%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1.005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1.2 % Compatível por faixa etária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Faixa etária</w:t>
            </w:r>
          </w:p>
        </w:tc>
        <w:tc>
          <w:tcPr>
            <w:tcW w:type="dxa" w:w="1881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N</w:t>
            </w:r>
          </w:p>
        </w:tc>
        <w:tc>
          <w:tcPr>
            <w:tcW w:type="dxa" w:w="1881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% Compatível</w:t>
            </w:r>
          </w:p>
        </w:tc>
        <w:tc>
          <w:tcPr>
            <w:tcW w:type="dxa" w:w="1881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COD mediano</w:t>
            </w:r>
          </w:p>
        </w:tc>
        <w:tc>
          <w:tcPr>
            <w:tcW w:type="dxa" w:w="1881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Idade mediana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0-5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23.742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78.88%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9.4%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6-15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21.745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69.91%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11.2%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16-30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15.532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60.35%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13.0%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21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31-50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21.534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56.3%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14.8%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40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50+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5.259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47.88%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14.6%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55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/>
          <w:sz w:val="22"/>
        </w:rPr>
        <w:t>Gráfico — % Compatível por faixa de inscrição e por idade: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30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ompativel_por_faix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30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Calibri" w:hAnsi="Calibri" w:eastAsia="Calibri"/>
          <w:b/>
          <w:sz w:val="22"/>
        </w:rPr>
        <w:t>Gráfico — COD mediano por faixa de inscrição (modelo aprovado):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6584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od_por_inscri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5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2. O que foi feito tecnicamente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• Ligamos cada transmissão à planilha Nascimento Imóvel pela inscrição.</w:t>
        <w:br/>
        <w:t>• Ano de construção só entra se estiver entre 1500 e o ano da venda (higiene).</w:t>
        <w:br/>
        <w:t>• Idade na transação = ano da venda − ano de construção.</w:t>
        <w:br/>
        <w:t>• Marcamos ausência/invalidez com flags (sem “inventar” idade escondida).</w:t>
        <w:br/>
        <w:t>• Treinamos um LightGBM desafiante com as mesmas configurações do modelo aprovado, só acrescentando a idade — o arquivo oficial não foi alterado.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3. Resultado do modelo desafiante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Comparação no teste final (holdout), nunca usado no treino: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15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Razão mediana</w:t>
            </w:r>
          </w:p>
        </w:tc>
        <w:tc>
          <w:tcPr>
            <w:tcW w:type="dxa" w:w="15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COD</w:t>
            </w:r>
          </w:p>
        </w:tc>
        <w:tc>
          <w:tcPr>
            <w:tcW w:type="dxa" w:w="15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COD mediano</w:t>
            </w:r>
          </w:p>
        </w:tc>
        <w:tc>
          <w:tcPr>
            <w:tcW w:type="dxa" w:w="15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PRD</w:t>
            </w:r>
          </w:p>
        </w:tc>
        <w:tc>
          <w:tcPr>
            <w:tcW w:type="dxa" w:w="15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PRB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Baseline (sem idade)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0.9986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9.57%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6.59%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1.0169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-0.0088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Desafiante (+ idade)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0.9997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9.27%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6.50%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1.0160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-0.0090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Melhora no COD mediano global: 0.09 ponto percentual (de 6.59% para 6.50%).</w:t>
      </w:r>
    </w:p>
    <w:p>
      <w:pPr>
        <w:spacing w:after="160" w:before="0"/>
      </w:pPr>
      <w:r>
        <w:rPr>
          <w:rFonts w:ascii="Calibri" w:hAnsi="Calibri" w:eastAsia="Calibri"/>
          <w:b/>
          <w:sz w:val="22"/>
        </w:rPr>
        <w:t>Holdout estratificado — COD mediano por inscrição (estoque antigo × novo):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Faixa de inscrição</w:t>
            </w:r>
          </w:p>
        </w:tc>
        <w:tc>
          <w:tcPr>
            <w:tcW w:type="dxa" w:w="3135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Baseline</w:t>
            </w:r>
          </w:p>
        </w:tc>
        <w:tc>
          <w:tcPr>
            <w:tcW w:type="dxa" w:w="3135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Desafiante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&lt;300k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10.94%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10.43%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300-900k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8.56%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8.29%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&gt;900k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4.07%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4.03%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/>
          <w:sz w:val="22"/>
        </w:rPr>
        <w:t>Principais variáveis do desafiante (importância no LightGBM):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LOG_AREA (8850) · VAR_TENDENCIA (8323) · KNN_PROXY (7192) · IDADE_NA_TRANSACAO_IMP (5545) · VLCOORDGEOY (4997) · VLCOORDGEOX (4757) · NUPAVIMENTOS (4086) · CDSETORFISCAL (3332)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4. Recomendação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Manter o modelo aprovado em produção. Tratar o desafiante com idade como candidato a substituição, após revisão SELAN (holdout completo, resíduos espaciais e reprocessamento do status Compatível).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Próximos passos sugeridos:</w:t>
        <w:br/>
        <w:t>1. Reprocessar o status Compatível com o desafiante e repetir as tabelas do item 1.</w:t>
        <w:br/>
        <w:t>2. Se a equipe validar: dossiê SELAN + novo manifesto de congelamento.</w:t>
        <w:br/>
        <w:t>3. Se o ganho no estoque antigo for insuficiente: testar interação idade × setor fiscal.</w:t>
        <w:br/>
        <w:t>4. Depois de fechar apartamentos, estender o uso do nascimento a salas comerciais.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5. Onde estão os arquivos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Pasta: ITIV\desafiante_idade\saida\</w:t>
        <w:br/>
        <w:t>• diagnostico_idade_status.json / CSVs e gráficos</w:t>
        <w:br/>
        <w:t>• modelo_lightgbm_apartamentos_com_idade.txt (experimental)</w:t>
        <w:br/>
        <w:t>• comparativo_baseline_desafiante.json</w:t>
        <w:br/>
        <w:t>• Versão Markdown desta nota na mesma pasta e na raiz de ITIV.</w:t>
      </w:r>
    </w:p>
    <w:p>
      <w:pPr>
        <w:spacing w:after="160" w:before="0"/>
      </w:pPr>
      <w:r>
        <w:rPr>
          <w:rFonts w:ascii="Calibri" w:hAnsi="Calibri" w:eastAsia="Calibri"/>
          <w:b w:val="0"/>
          <w:sz w:val="18"/>
        </w:rPr>
        <w:t>Documento gerado automaticamente a partir dos resultados do pipeline desafiante_idade/pipeline_idade_apartamentos.py — SELAN / Coordenadoria de Inteligência Fiscal.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