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A3A5C"/>
        </w:rPr>
        <w:t>Decisões de Consistência — Modelo de Apartamentos (ITIV)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Coordenadoria de Inteligência Fiscal — SEFAZ Salvador</w:t>
      </w:r>
      <w:r>
        <w:rPr>
          <w:rFonts w:ascii="Arial" w:hAnsi="Arial"/>
        </w:rPr>
      </w:r>
    </w:p>
    <w:p>
      <w:r>
        <w:rPr>
          <w:rFonts w:ascii="Arial" w:hAnsi="Arial"/>
        </w:rPr>
      </w:r>
      <w:r>
        <w:rPr>
          <w:rFonts w:ascii="Arial" w:hAnsi="Arial"/>
          <w:b/>
        </w:rPr>
        <w:t>Data:</w:t>
      </w:r>
      <w:r>
        <w:rPr>
          <w:rFonts w:ascii="Arial" w:hAnsi="Arial"/>
        </w:rPr>
        <w:t xml:space="preserve"> 02/07/2026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Complementa:</w:t>
      </w:r>
      <w:r>
        <w:rPr>
          <w:rFonts w:ascii="Arial" w:hAnsi="Arial"/>
        </w:rPr>
        <w:t xml:space="preserve"> Parecer Técnico de Riscos e REGISTRO_ETAPAS_APROVACAO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Objetivo:</w:t>
      </w:r>
      <w:r>
        <w:rPr>
          <w:rFonts w:ascii="Arial" w:hAnsi="Arial"/>
        </w:rPr>
        <w:t xml:space="preserve"> reunir, em um só lugar, as decisões que a equipe precisa tomar </w:t>
      </w:r>
      <w:r>
        <w:rPr>
          <w:rFonts w:ascii="Arial" w:hAnsi="Arial"/>
          <w:b/>
        </w:rPr>
        <w:t>antes do treino</w:t>
      </w:r>
      <w:r>
        <w:rPr>
          <w:rFonts w:ascii="Arial" w:hAnsi="Arial"/>
        </w:rPr>
        <w:t xml:space="preserve"> (Etapa 4) para que o modelo seja consistente — mesmo resultado ao rodar de novo, bom desempenho em imóveis nunca vistos e tratamento igual para imóveis baratos e caros.</w:t>
      </w:r>
    </w:p>
    <w:p/>
    <w:p>
      <w:pPr>
        <w:pStyle w:val="Heading2"/>
      </w:pPr>
      <w:r>
        <w:rPr>
          <w:rFonts w:ascii="Arial" w:hAnsi="Arial"/>
          <w:color w:val="1A3A5C"/>
        </w:rPr>
        <w:t>Como ler</w:t>
      </w:r>
    </w:p>
    <w:p>
      <w:r>
        <w:rPr>
          <w:rFonts w:ascii="Arial" w:hAnsi="Arial"/>
        </w:rPr>
        <w:t xml:space="preserve">Cada item traz: </w:t>
      </w:r>
      <w:r>
        <w:rPr>
          <w:rFonts w:ascii="Arial" w:hAnsi="Arial"/>
          <w:b/>
        </w:rPr>
        <w:t>o fato medido</w:t>
      </w:r>
      <w:r>
        <w:rPr>
          <w:rFonts w:ascii="Arial" w:hAnsi="Arial"/>
        </w:rPr>
        <w:t xml:space="preserve"> (sem interpretação), </w:t>
      </w:r>
      <w:r>
        <w:rPr>
          <w:rFonts w:ascii="Arial" w:hAnsi="Arial"/>
          <w:b/>
        </w:rPr>
        <w:t>por que importa</w:t>
      </w:r>
      <w:r>
        <w:rPr>
          <w:rFonts w:ascii="Arial" w:hAnsi="Arial"/>
        </w:rPr>
        <w:t xml:space="preserve"> e </w:t>
      </w:r>
      <w:r>
        <w:rPr>
          <w:rFonts w:ascii="Arial" w:hAnsi="Arial"/>
          <w:b/>
        </w:rPr>
        <w:t>a decisão em aberto</w:t>
      </w:r>
      <w:r>
        <w:rPr>
          <w:rFonts w:ascii="Arial" w:hAnsi="Arial"/>
        </w:rPr>
        <w:t xml:space="preserve"> com opções. Nada foi alterado nos dados — as ferramentas criadas em 02/07/2026 apenas medem e travam.</w:t>
      </w:r>
    </w:p>
    <w:p/>
    <w:p>
      <w:pPr>
        <w:pStyle w:val="Heading2"/>
      </w:pPr>
      <w:r>
        <w:rPr>
          <w:rFonts w:ascii="Arial" w:hAnsi="Arial"/>
          <w:color w:val="1A3A5C"/>
        </w:rPr>
        <w:t>D1. Os 12 `SQTRANSMISSAO` duplicados causaram vazamento real entre treino e teste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Fato medido</w:t>
      </w:r>
      <w:r>
        <w:rPr>
          <w:rFonts w:ascii="Arial" w:hAnsi="Arial"/>
        </w:rPr>
        <w:t xml:space="preserve"> (`verificacoes_pre_treino.py`): os 12 registros com o mesmo número de transmissão (pendência da Etapa 1) caíram em conjuntos diferentes no sorteio — </w:t>
      </w:r>
      <w:r>
        <w:rPr>
          <w:rFonts w:ascii="Arial" w:hAnsi="Arial"/>
          <w:b/>
        </w:rPr>
        <w:t>6 transações estão ao mesmo tempo no treino e na validação/teste</w:t>
      </w:r>
      <w:r>
        <w:rPr>
          <w:rFonts w:ascii="Arial" w:hAnsi="Arial"/>
        </w:rPr>
        <w:t>. Isso significa que o teste contém cópias de vendas que o modelo viu no treino.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Por que importa:</w:t>
      </w:r>
      <w:r>
        <w:rPr>
          <w:rFonts w:ascii="Arial" w:hAnsi="Arial"/>
        </w:rPr>
        <w:t xml:space="preserve"> qualquer métrica medida na validação/teste fica contaminada enquanto isso existir.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Decisão da equipe:</w:t>
      </w:r>
      <w:r>
        <w:rPr>
          <w:rFonts w:ascii="Arial" w:hAnsi="Arial"/>
        </w:rPr>
      </w:r>
    </w:p>
    <w:p>
      <w:r>
        <w:rPr>
          <w:rFonts w:ascii="Arial" w:hAnsi="Arial"/>
        </w:rPr>
        <w:t xml:space="preserve">( ) Remover os duplicados de `SQTRANSMISSAO` mantendo a 1ª ocorrência e </w:t>
      </w:r>
      <w:r>
        <w:rPr>
          <w:rFonts w:ascii="Arial" w:hAnsi="Arial"/>
          <w:b/>
        </w:rPr>
        <w:t>refazer a divisão</w:t>
      </w:r>
      <w:r>
        <w:rPr>
          <w:rFonts w:ascii="Arial" w:hAnsi="Arial"/>
        </w:rPr>
        <w:t xml:space="preserve"> treino/validação/teste (recomendado — era a proposta da pergunta 1 da Etapa 2)</w:t>
      </w:r>
    </w:p>
    <w:p>
      <w:r>
        <w:rPr>
          <w:rFonts w:ascii="Arial" w:hAnsi="Arial"/>
        </w:rPr>
        <w:t>( ) Outra: ____________________</w:t>
      </w:r>
    </w:p>
    <w:p>
      <w:pPr>
        <w:pStyle w:val="Heading2"/>
      </w:pPr>
      <w:r>
        <w:rPr>
          <w:rFonts w:ascii="Arial" w:hAnsi="Arial"/>
          <w:color w:val="1A3A5C"/>
        </w:rPr>
        <w:t>D2. Confirmar a deduplicação de venda repetida (inscrição+data+valor) no treino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Fato medido:</w:t>
      </w:r>
      <w:r>
        <w:rPr>
          <w:rFonts w:ascii="Arial" w:hAnsi="Arial"/>
        </w:rPr>
        <w:t xml:space="preserve"> o arquivo de treino atual contém </w:t>
      </w:r>
      <w:r>
        <w:rPr>
          <w:rFonts w:ascii="Arial" w:hAnsi="Arial"/>
          <w:b/>
        </w:rPr>
        <w:t>6.129 linhas</w:t>
      </w:r>
      <w:r>
        <w:rPr>
          <w:rFonts w:ascii="Arial" w:hAnsi="Arial"/>
        </w:rPr>
        <w:t xml:space="preserve"> que repetem a mesma venda (mesma inscrição, data e valor). A recomendação técnica registrada em 22/06/2026 — manter na base, contar uma vez no treino — está </w:t>
      </w:r>
      <w:r>
        <w:rPr>
          <w:rFonts w:ascii="Arial" w:hAnsi="Arial"/>
          <w:b/>
        </w:rPr>
        <w:t>pendente de confirmação</w:t>
      </w:r>
      <w:r>
        <w:rPr>
          <w:rFonts w:ascii="Arial" w:hAnsi="Arial"/>
        </w:rPr>
        <w:t>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Por que importa:</w:t>
      </w:r>
      <w:r>
        <w:rPr>
          <w:rFonts w:ascii="Arial" w:hAnsi="Arial"/>
        </w:rPr>
        <w:t xml:space="preserve"> venda contada 2× ou 3× pesa 2× ou 3× na curva que o modelo aprende. A trava T5 do `verificacoes_pre_treino.py` </w:t>
      </w:r>
      <w:r>
        <w:rPr>
          <w:rFonts w:ascii="Arial" w:hAnsi="Arial"/>
          <w:b/>
        </w:rPr>
        <w:t>bloqueia o treino</w:t>
      </w:r>
      <w:r>
        <w:rPr>
          <w:rFonts w:ascii="Arial" w:hAnsi="Arial"/>
        </w:rPr>
        <w:t xml:space="preserve"> até isso ser resolvido.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Decisão da equipe:</w:t>
      </w:r>
      <w:r>
        <w:rPr>
          <w:rFonts w:ascii="Arial" w:hAnsi="Arial"/>
        </w:rPr>
      </w:r>
    </w:p>
    <w:p>
      <w:r>
        <w:rPr>
          <w:rFonts w:ascii="Arial" w:hAnsi="Arial"/>
        </w:rPr>
        <w:t>( ) Confirmar: contar cada venda uma única vez no treino (base completa permanece intacta para auditoria)</w:t>
      </w:r>
    </w:p>
    <w:p>
      <w:r>
        <w:rPr>
          <w:rFonts w:ascii="Arial" w:hAnsi="Arial"/>
        </w:rPr>
        <w:t>( ) Outra: ____________________</w:t>
      </w:r>
    </w:p>
    <w:p>
      <w:pPr>
        <w:pStyle w:val="Heading2"/>
      </w:pPr>
      <w:r>
        <w:rPr>
          <w:rFonts w:ascii="Arial" w:hAnsi="Arial"/>
          <w:color w:val="1A3A5C"/>
        </w:rPr>
        <w:t>D3. Como tratar o tempo (Risco 9 do Parecer)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Fato medido</w:t>
      </w:r>
      <w:r>
        <w:rPr>
          <w:rFonts w:ascii="Arial" w:hAnsi="Arial"/>
        </w:rPr>
        <w:t xml:space="preserve"> (`medir_evolucao_temporal.py`): a mediana do R$/m² dos apartamentos subiu </w:t>
      </w:r>
      <w:r>
        <w:rPr>
          <w:rFonts w:ascii="Arial" w:hAnsi="Arial"/>
          <w:b/>
        </w:rPr>
        <w:t>+51% de 2021 a 2026</w:t>
      </w:r>
      <w:r>
        <w:rPr>
          <w:rFonts w:ascii="Arial" w:hAnsi="Arial"/>
        </w:rPr>
        <w:t xml:space="preserve"> (R$ 3.687 → R$ 5.570). A base nova mistura vendas de dez/2018 a jun/2026 e a Lista Final de Parâmetros não tem variável de tempo. O pipeline antigo (produção) já tratava o tempo por três vias: deflação IPCA (série 433/BCB), divisão por data e variável de tendência.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Por que importa:</w:t>
      </w:r>
      <w:r>
        <w:rPr>
          <w:rFonts w:ascii="Arial" w:hAnsi="Arial"/>
        </w:rPr>
        <w:t xml:space="preserve"> sem tratamento, o modelo confunde "imóvel barato" com "venda antiga". A NBR 14653-2 pede dados contemporâneos ou homogeneizados à data de referência.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Decisão da equipe:</w:t>
      </w:r>
      <w:r>
        <w:rPr>
          <w:rFonts w:ascii="Arial" w:hAnsi="Arial"/>
        </w:rPr>
      </w:r>
    </w:p>
    <w:p>
      <w:r>
        <w:rPr>
          <w:rFonts w:ascii="Arial" w:hAnsi="Arial"/>
        </w:rPr>
        <w:t>( ) Deflação por IPCA até a data de referência (como o pipeline antigo)</w:t>
      </w:r>
    </w:p>
    <w:p>
      <w:r>
        <w:rPr>
          <w:rFonts w:ascii="Arial" w:hAnsi="Arial"/>
        </w:rPr>
        <w:t>( ) Variável de tendência temporal no modelo</w:t>
      </w:r>
    </w:p>
    <w:p>
      <w:r>
        <w:rPr>
          <w:rFonts w:ascii="Arial" w:hAnsi="Arial"/>
        </w:rPr>
        <w:t>( ) As duas (deflação + tendência)</w:t>
      </w:r>
    </w:p>
    <w:p>
      <w:r>
        <w:rPr>
          <w:rFonts w:ascii="Arial" w:hAnsi="Arial"/>
        </w:rPr>
        <w:t>( ) Outra: ____________________</w:t>
      </w:r>
    </w:p>
    <w:p>
      <w:pPr>
        <w:pStyle w:val="Heading2"/>
      </w:pPr>
      <w:r>
        <w:rPr>
          <w:rFonts w:ascii="Arial" w:hAnsi="Arial"/>
          <w:color w:val="1A3A5C"/>
        </w:rPr>
        <w:t>D4. Metas de equidade (COD/PRD/PRB) como condição formal de aprovação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Fato já registrado</w:t>
      </w:r>
      <w:r>
        <w:rPr>
          <w:rFonts w:ascii="Arial" w:hAnsi="Arial"/>
        </w:rPr>
        <w:t xml:space="preserve"> (Etapa 6): os modelos diagnósticos ficaram fora da meta de uniformidade vertical (PRD 1,127–1,156 contra meta 0,98–1,03; PRB −0,054/−0,077 contra meta ±0,05), piores que o valor venal atual nesses indicadores.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Ferramenta pronta:</w:t>
      </w:r>
      <w:r>
        <w:rPr>
          <w:rFonts w:ascii="Arial" w:hAnsi="Arial"/>
        </w:rPr>
        <w:t xml:space="preserve"> `metricas_iaao_por_decil.py` calcula COD/PRD/PRB </w:t>
      </w:r>
      <w:r>
        <w:rPr>
          <w:rFonts w:ascii="Arial" w:hAnsi="Arial"/>
          <w:b/>
        </w:rPr>
        <w:t>por faixa de valor</w:t>
      </w:r>
      <w:r>
        <w:rPr>
          <w:rFonts w:ascii="Arial" w:hAnsi="Arial"/>
        </w:rPr>
        <w:t xml:space="preserve"> para o modelo novo assim que ele for treinado.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Decisão da equipe:</w:t>
      </w:r>
      <w:r>
        <w:rPr>
          <w:rFonts w:ascii="Arial" w:hAnsi="Arial"/>
        </w:rPr>
      </w:r>
    </w:p>
    <w:p>
      <w:r>
        <w:rPr>
          <w:rFonts w:ascii="Arial" w:hAnsi="Arial"/>
        </w:rPr>
        <w:t xml:space="preserve">( ) Adotar as metas IAAO (razão 0,90–1,10; COD ≤ 15% ou, transitoriamente, ≤ o valor atual; PRD 0,98–1,03; PRB ±0,05) como </w:t>
      </w:r>
      <w:r>
        <w:rPr>
          <w:rFonts w:ascii="Arial" w:hAnsi="Arial"/>
          <w:b/>
        </w:rPr>
        <w:t>condição de aprovação</w:t>
      </w:r>
      <w:r>
        <w:rPr>
          <w:rFonts w:ascii="Arial" w:hAnsi="Arial"/>
        </w:rPr>
        <w:t xml:space="preserve"> do modelo novo — modelo fora da meta volta para ajuste</w:t>
      </w:r>
    </w:p>
    <w:p>
      <w:r>
        <w:rPr>
          <w:rFonts w:ascii="Arial" w:hAnsi="Arial"/>
        </w:rPr>
        <w:t>( ) Manter as metas apenas como acompanhamento</w:t>
      </w:r>
    </w:p>
    <w:p>
      <w:r>
        <w:rPr>
          <w:rFonts w:ascii="Arial" w:hAnsi="Arial"/>
        </w:rPr>
        <w:t>( ) Outra: ____________________</w:t>
      </w:r>
    </w:p>
    <w:p>
      <w:pPr>
        <w:pStyle w:val="Heading2"/>
      </w:pPr>
      <w:r>
        <w:rPr>
          <w:rFonts w:ascii="Arial" w:hAnsi="Arial"/>
          <w:color w:val="1A3A5C"/>
        </w:rPr>
        <w:t>D5. Sinalização pelo limite inferior da faixa (não pelo valor central)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Fato já registrado</w:t>
      </w:r>
      <w:r>
        <w:rPr>
          <w:rFonts w:ascii="Arial" w:hAnsi="Arial"/>
        </w:rPr>
        <w:t xml:space="preserve"> (Etapa 6 + Parecer, Risco 2): o erro individual do modelo é considerável (COD ~24% nos diagnósticos). O coeficiente de segurança (proposta de 95%) será reavaliado com o COD do modelo novo em mãos (decisão de 22/06/2026).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Decisão da equipe:</w:t>
      </w:r>
      <w:r>
        <w:rPr>
          <w:rFonts w:ascii="Arial" w:hAnsi="Arial"/>
        </w:rPr>
      </w:r>
    </w:p>
    <w:p>
      <w:r>
        <w:rPr>
          <w:rFonts w:ascii="Arial" w:hAnsi="Arial"/>
        </w:rPr>
        <w:t xml:space="preserve">( ) Formalizar como </w:t>
      </w:r>
      <w:r>
        <w:rPr>
          <w:rFonts w:ascii="Arial" w:hAnsi="Arial"/>
          <w:b/>
        </w:rPr>
        <w:t>requisito do pipeline de inferência</w:t>
      </w:r>
      <w:r>
        <w:rPr>
          <w:rFonts w:ascii="Arial" w:hAnsi="Arial"/>
        </w:rPr>
        <w:t>: a comparação com o valor declarado usa o limite inferior do intervalo de predição, e o coeficiente final sai da curva de custo-benefício (análise 7 do Parecer), não de um número fixado de antemão</w:t>
      </w:r>
    </w:p>
    <w:p>
      <w:r>
        <w:rPr>
          <w:rFonts w:ascii="Arial" w:hAnsi="Arial"/>
        </w:rPr>
        <w:t>( ) Outra: ____________________</w:t>
      </w:r>
    </w:p>
    <w:p>
      <w:pPr>
        <w:pStyle w:val="Heading2"/>
      </w:pPr>
      <w:r>
        <w:rPr>
          <w:rFonts w:ascii="Arial" w:hAnsi="Arial"/>
          <w:color w:val="1A3A5C"/>
        </w:rPr>
        <w:t>D6. Dois modelos em paralelo (fundamentação normativa — Risco 10)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Fato:</w:t>
      </w:r>
      <w:r>
        <w:rPr>
          <w:rFonts w:ascii="Arial" w:hAnsi="Arial"/>
        </w:rPr>
        <w:t xml:space="preserve"> o hedônico produz os testes estatísticos que a NBR 14653-2 usa para o grau de fundamentação; o LightGBM não produz esses testes, e sua defesa se apoia no estudo de razões (IBAPE 7.8.1/IAAO) e na validação em amostra separada.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Decisão da equipe:</w:t>
      </w:r>
      <w:r>
        <w:rPr>
          <w:rFonts w:ascii="Arial" w:hAnsi="Arial"/>
        </w:rPr>
      </w:r>
    </w:p>
    <w:p>
      <w:r>
        <w:rPr>
          <w:rFonts w:ascii="Arial" w:hAnsi="Arial"/>
        </w:rPr>
        <w:t xml:space="preserve">( ) Treinar e manter os dois; o hedônico é a âncora normativa e a divergência grande entre os dois em um imóvel gera alerta de avaliação individual; registrar por escrito a estratégia de fundamentação de cada um </w:t>
      </w:r>
      <w:r>
        <w:rPr>
          <w:rFonts w:ascii="Arial" w:hAnsi="Arial"/>
          <w:b/>
        </w:rPr>
        <w:t>antes</w:t>
      </w:r>
      <w:r>
        <w:rPr>
          <w:rFonts w:ascii="Arial" w:hAnsi="Arial"/>
        </w:rPr>
        <w:t xml:space="preserve"> do treino</w:t>
      </w:r>
    </w:p>
    <w:p>
      <w:r>
        <w:rPr>
          <w:rFonts w:ascii="Arial" w:hAnsi="Arial"/>
        </w:rPr>
        <w:t>( ) Seguir só com um modelo — qual e com qual fundamentação: ____________________</w:t>
      </w:r>
    </w:p>
    <w:p>
      <w:pPr>
        <w:pStyle w:val="Heading2"/>
      </w:pPr>
      <w:r>
        <w:rPr>
          <w:rFonts w:ascii="Arial" w:hAnsi="Arial"/>
          <w:color w:val="1A3A5C"/>
        </w:rPr>
        <w:t>D7. Registro da decisão sobre o esquema de divisão treino/teste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Fato medido</w:t>
      </w:r>
      <w:r>
        <w:rPr>
          <w:rFonts w:ascii="Arial" w:hAnsi="Arial"/>
        </w:rPr>
        <w:t xml:space="preserve"> (`comparar_split_espacial.py`, 02/07/2026): a comparação entre sorteio aleatório e divisão por bloco de prédio deu erro mediano praticamente igual (18,4% × 18,2%) — </w:t>
      </w:r>
      <w:r>
        <w:rPr>
          <w:rFonts w:ascii="Arial" w:hAnsi="Arial"/>
          <w:b/>
        </w:rPr>
        <w:t>não se confirmou</w:t>
      </w:r>
      <w:r>
        <w:rPr>
          <w:rFonts w:ascii="Arial" w:hAnsi="Arial"/>
        </w:rPr>
        <w:t xml:space="preserve"> a inflação temida no Risco 5. Registro adicional: o pipeline antigo usava divisão </w:t>
      </w:r>
      <w:r>
        <w:rPr>
          <w:rFonts w:ascii="Arial" w:hAnsi="Arial"/>
          <w:b/>
        </w:rPr>
        <w:t>por data</w:t>
      </w:r>
      <w:r>
        <w:rPr>
          <w:rFonts w:ascii="Arial" w:hAnsi="Arial"/>
        </w:rPr>
        <w:t xml:space="preserve"> (treino até jun/2025, teste a partir de jan/2026), que simula o uso real — prever vendas futuras.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Decisão da equipe:</w:t>
      </w:r>
      <w:r>
        <w:rPr>
          <w:rFonts w:ascii="Arial" w:hAnsi="Arial"/>
        </w:rPr>
      </w:r>
    </w:p>
    <w:p>
      <w:r>
        <w:rPr>
          <w:rFonts w:ascii="Arial" w:hAnsi="Arial"/>
        </w:rPr>
        <w:t>( ) Manter o sorteio aleatório da Etapa 1 (defensável pelo diagnóstico), refeito após D1/D2</w:t>
      </w:r>
    </w:p>
    <w:p>
      <w:r>
        <w:rPr>
          <w:rFonts w:ascii="Arial" w:hAnsi="Arial"/>
        </w:rPr>
        <w:t>( ) Adotar divisão por data como no pipeline antigo (mais próxima do uso em produção)</w:t>
      </w:r>
    </w:p>
    <w:p>
      <w:r>
        <w:rPr>
          <w:rFonts w:ascii="Arial" w:hAnsi="Arial"/>
        </w:rPr>
        <w:t>( ) Aleatório como principal + medição por data em paralelo no relatório de validação</w:t>
      </w:r>
    </w:p>
    <w:p>
      <w:r>
        <w:rPr>
          <w:rFonts w:ascii="Arial" w:hAnsi="Arial"/>
        </w:rPr>
        <w:t>( ) Outra: ____________________</w:t>
      </w:r>
    </w:p>
    <w:p/>
    <w:p>
      <w:pPr>
        <w:pStyle w:val="Heading2"/>
      </w:pPr>
      <w:r>
        <w:rPr>
          <w:rFonts w:ascii="Arial" w:hAnsi="Arial"/>
          <w:color w:val="1A3A5C"/>
        </w:rPr>
        <w:t>Regras já transformadas em código (não dependem de decisão — já valem)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`verificacoes_pre_treino.py`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Bloqueia o treino se houver ID duplicado, sobreposição treino/teste ou dedup pendente (rodar SEMPRE antes de treinar)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`gerar_manifesto_treino.py`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Congela a impressão digital (SHA-256) de dados e scripts em `manifesto_treino.json` (regerar após D1/D2 e guardar com o modelo)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`metricas_iaao_por_decil.py`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COD/PRD/PRB por decil — pronto para o modelo novo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`medir_evolucao_temporal.py`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Medição da evolução de preços por ano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`comparar_split_espacial.py`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Diagnóstico aleatório × bloco de prédio (reproduzível, semente 42)</w:t>
            </w:r>
          </w:p>
        </w:tc>
      </w:tr>
    </w:tbl>
    <w:p/>
    <w:p>
      <w:r>
        <w:rPr>
          <w:rFonts w:ascii="Arial" w:hAnsi="Arial"/>
        </w:rPr>
      </w:r>
      <w:r>
        <w:rPr>
          <w:rFonts w:ascii="Arial" w:hAnsi="Arial"/>
          <w:b/>
        </w:rPr>
        <w:t>Requisito de código para a Etapa 4 (treino), já constando do checklist da trava:</w:t>
      </w:r>
      <w:r>
        <w:rPr>
          <w:rFonts w:ascii="Arial" w:hAnsi="Arial"/>
        </w:rPr>
      </w:r>
    </w:p>
    <w:p>
      <w:pPr>
        <w:pStyle w:val="ListBullet"/>
      </w:pPr>
      <w:r>
        <w:rPr>
          <w:rFonts w:ascii="Arial" w:hAnsi="Arial"/>
        </w:rPr>
        <w:t xml:space="preserve">Chauvenet/limites de saneamento: </w:t>
      </w:r>
      <w:r>
        <w:rPr>
          <w:rFonts w:ascii="Arial" w:hAnsi="Arial"/>
          <w:b/>
        </w:rPr>
        <w:t>somente no treino</w:t>
      </w:r>
      <w:r>
        <w:rPr>
          <w:rFonts w:ascii="Arial" w:hAnsi="Arial"/>
        </w:rPr>
        <w:t xml:space="preserve"> (IBAPE 7.6.7/7.9.1);</w:t>
      </w:r>
    </w:p>
    <w:p>
      <w:pPr>
        <w:pStyle w:val="ListBullet"/>
      </w:pPr>
      <w:r>
        <w:rPr>
          <w:rFonts w:ascii="Arial" w:hAnsi="Arial"/>
        </w:rPr>
        <w:t xml:space="preserve">Proxy KNN de vizinhança: vizinhos </w:t>
      </w:r>
      <w:r>
        <w:rPr>
          <w:rFonts w:ascii="Arial" w:hAnsi="Arial"/>
          <w:b/>
        </w:rPr>
        <w:t>exclusivamente do conjunto de treino</w:t>
      </w:r>
      <w:r>
        <w:rPr>
          <w:rFonts w:ascii="Arial" w:hAnsi="Arial"/>
        </w:rPr>
        <w:t>;</w:t>
      </w:r>
    </w:p>
    <w:p>
      <w:pPr>
        <w:pStyle w:val="ListBullet"/>
      </w:pPr>
      <w:r>
        <w:rPr>
          <w:rFonts w:ascii="Arial" w:hAnsi="Arial"/>
        </w:rPr>
        <w:t>Registrar semente, versões e manifesto junto com o modelo treinado.</w:t>
      </w:r>
    </w:p>
    <w:p/>
    <w:p>
      <w:r>
        <w:rPr>
          <w:rFonts w:ascii="Arial" w:hAnsi="Arial"/>
        </w:rPr>
        <w:t>*Este documento organiza decisões — não decide. Cada item aguarda a marcação da equipe, no mesmo formato dos documentos de aprovação anteriores.*</w:t>
      </w:r>
    </w:p>
    <w:sectPr w:rsidR="00FC693F" w:rsidRPr="0006063C" w:rsidSect="00034616">
      <w:footerReference w:type="default" r:id="rId9"/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88888"/>
        <w:sz w:val="16"/>
      </w:rPr>
      <w:t>Coordenadoria de Inteligência Fiscal — SEFAZ Salvador | Junho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