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Parecer Técnico — Riscos do Modelo de Avaliação de Apartamentos (ITIV)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Referência:</w:t>
      </w:r>
      <w:r>
        <w:rPr>
          <w:rFonts w:ascii="Arial" w:hAnsi="Arial"/>
        </w:rPr>
        <w:t xml:space="preserve"> Engenharia de Parâmetros (Etapas 1–7) e Lista Final de Parâmetros — Apartamentos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Objetivo do documento:</w:t>
      </w:r>
      <w:r>
        <w:rPr>
          <w:rFonts w:ascii="Arial" w:hAnsi="Arial"/>
        </w:rPr>
        <w:t xml:space="preserve"> apontar riscos identificados na revisão técnica, propor análises complementares para dimensioná-los e sugerir soluções antes do treino do modelo (Etapa 4).</w:t>
      </w:r>
    </w:p>
    <w:p/>
    <w:p>
      <w:pPr>
        <w:pStyle w:val="Heading2"/>
      </w:pPr>
      <w:r>
        <w:rPr>
          <w:rFonts w:ascii="Arial" w:hAnsi="Arial"/>
          <w:color w:val="1A3A5C"/>
        </w:rPr>
        <w:t>Como ler este documento</w:t>
      </w:r>
    </w:p>
    <w:p>
      <w:r>
        <w:rPr>
          <w:rFonts w:ascii="Arial" w:hAnsi="Arial"/>
        </w:rPr>
        <w:t xml:space="preserve">Cada risco é apresentado em três blocos: </w:t>
      </w:r>
      <w:r>
        <w:rPr>
          <w:rFonts w:ascii="Arial" w:hAnsi="Arial"/>
          <w:b/>
        </w:rPr>
        <w:t>o que é o risco</w:t>
      </w:r>
      <w:r>
        <w:rPr>
          <w:rFonts w:ascii="Arial" w:hAnsi="Arial"/>
        </w:rPr>
        <w:t xml:space="preserve"> (explicação didática), </w:t>
      </w:r>
      <w:r>
        <w:rPr>
          <w:rFonts w:ascii="Arial" w:hAnsi="Arial"/>
          <w:b/>
        </w:rPr>
        <w:t>como medir</w:t>
      </w:r>
      <w:r>
        <w:rPr>
          <w:rFonts w:ascii="Arial" w:hAnsi="Arial"/>
        </w:rPr>
        <w:t xml:space="preserve"> (análise a ser rodada antes de decidir) e </w:t>
      </w:r>
      <w:r>
        <w:rPr>
          <w:rFonts w:ascii="Arial" w:hAnsi="Arial"/>
          <w:b/>
        </w:rPr>
        <w:t>o que fazer</w:t>
      </w:r>
      <w:r>
        <w:rPr>
          <w:rFonts w:ascii="Arial" w:hAnsi="Arial"/>
        </w:rPr>
        <w:t xml:space="preserve"> (solução proposta). Os riscos estão ordenados por criticidade — do que pode invalidar o propósito do modelo ao que é ajuste fino de qualidade.</w:t>
      </w:r>
    </w:p>
    <w:p/>
    <w:p>
      <w:pPr>
        <w:pStyle w:val="Heading2"/>
      </w:pPr>
      <w:r>
        <w:rPr>
          <w:rFonts w:ascii="Arial" w:hAnsi="Arial"/>
          <w:color w:val="1A3A5C"/>
        </w:rPr>
        <w:t>1. Riscos Encontrados</w:t>
      </w:r>
    </w:p>
    <w:p>
      <w:pPr>
        <w:pStyle w:val="Heading3"/>
      </w:pPr>
      <w:r>
        <w:rPr>
          <w:rFonts w:ascii="Arial" w:hAnsi="Arial"/>
          <w:color w:val="1A3A5C"/>
        </w:rPr>
        <w:t>Risco 1 — Contaminação do alvo (a variável que queremos prever já contém o problema que queremos detectar)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o modelo será treinado para aprender o padrão "características do imóvel → valor de mercado" usando como referência `VLTRANSACAO`, isto é, o valor que o contribuinte declarou na transação. Mas o próprio objetivo do sistema é encontrar contribuintes que declararam um valor distante do mercado — ou seja, declararam errado de propósito. Isso cria um paradoxo: se uma parcela relevante das transações de treino já é subdeclarada, o modelo aprende que aquele padrão de "imóvel bom, valor baixo" é normal, e passa a não sinalizar exatamente os casos que deveria pegar. É como treinar um detector de mentiras usando depoimentos que já contêm mentiras não identificadas como exemplo de "verdade".</w:t>
      </w:r>
    </w:p>
    <w:p>
      <w:r>
        <w:rPr>
          <w:rFonts w:ascii="Arial" w:hAnsi="Arial"/>
        </w:rPr>
        <w:t xml:space="preserve">Isso é diferente de outlier estatístico. Um outlier (ex.: venda de R$ 0,01) é fácil de identificar e remover. Subdeclaração "normal" (ex.: imóvel de R$ 500 mil declarado por R$ 400 mil) fica </w:t>
      </w:r>
      <w:r>
        <w:rPr>
          <w:rFonts w:ascii="Arial" w:hAnsi="Arial"/>
          <w:b/>
        </w:rPr>
        <w:t>dentro</w:t>
      </w:r>
      <w:r>
        <w:rPr>
          <w:rFonts w:ascii="Arial" w:hAnsi="Arial"/>
        </w:rPr>
        <w:t xml:space="preserve"> da distribuição normal de preços e não é pega por nenhum critério estatístico como Chauvenet — ela se mistura ao ruído legítimo do mercado (negociação, urgência de venda, relação entre as partes, etc.).</w:t>
      </w:r>
    </w:p>
    <w:p>
      <w:pPr>
        <w:pStyle w:val="Heading3"/>
      </w:pPr>
      <w:r>
        <w:rPr>
          <w:rFonts w:ascii="Arial" w:hAnsi="Arial"/>
          <w:color w:val="1A3A5C"/>
        </w:rPr>
        <w:t>Risco 2 — Uso de estimativa pontual em decisão que deveria usar faixa de confiança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o R² dos modelos diagnósticos ficou entre 0,50 e 0,70 — ou seja, o modelo explica de 50% a 70% da variação dos preços. Isso é um resultado tecnicamente bom para esse tipo de problema, mas significa que, para um imóvel específico, o valor previsto tem uma margem de erro considerável. Se o sistema simplesmente compara "valor declarado" contra "valor previsto pelo modelo" e sinaliza quando a diferença é grande, ele vai gerar falsos positivos: contribuintes que declararam corretamente, mas cujo imóvel tem alguma característica não capturada pelo modelo (reforma, vista, estado de conservação), ficarão marcados como suspeitos só porque a previsão pontual errou.</w:t>
      </w:r>
    </w:p>
    <w:p>
      <w:pPr>
        <w:pStyle w:val="Heading3"/>
      </w:pPr>
      <w:r>
        <w:rPr>
          <w:rFonts w:ascii="Arial" w:hAnsi="Arial"/>
          <w:color w:val="1A3A5C"/>
        </w:rPr>
        <w:t>Risco 3 — Duplicidade de transações sem trava técnica de deduplicação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foram encontrados 13.239 registros que parecem ser a mesma venda repetida (mesma inscrição, data e valor, mesmas partes). A decisão registrada pela equipe (22/06/2026) foi </w:t>
      </w:r>
      <w:r>
        <w:rPr>
          <w:rFonts w:ascii="Arial" w:hAnsi="Arial"/>
          <w:b/>
        </w:rPr>
        <w:t>manter esses registros na base</w:t>
      </w:r>
      <w:r>
        <w:rPr>
          <w:rFonts w:ascii="Arial" w:hAnsi="Arial"/>
        </w:rPr>
        <w:t xml:space="preserve">; a regra de contar cada venda </w:t>
      </w:r>
      <w:r>
        <w:rPr>
          <w:rFonts w:ascii="Arial" w:hAnsi="Arial"/>
          <w:b/>
        </w:rPr>
        <w:t>uma única vez</w:t>
      </w:r>
      <w:r>
        <w:rPr>
          <w:rFonts w:ascii="Arial" w:hAnsi="Arial"/>
        </w:rPr>
        <w:t xml:space="preserve"> no treino consta como </w:t>
      </w:r>
      <w:r>
        <w:rPr>
          <w:rFonts w:ascii="Arial" w:hAnsi="Arial"/>
          <w:b/>
        </w:rPr>
        <w:t>recomendação técnica ainda pendente de confirmação da equipe</w:t>
      </w:r>
      <w:r>
        <w:rPr>
          <w:rFonts w:ascii="Arial" w:hAnsi="Arial"/>
        </w:rPr>
        <w:t xml:space="preserve"> — não como decisão tomada. O risco aqui tem duas camadas: a confirmação pendente e a possibilidade de essa deduplicação não ser aplicada de forma consistente no pipeline de treino. Se falhar, a mesma venda entra várias vezes, e o modelo passa a "achar" que aquele perfil de imóvel (e de preço) é mais comum do que realmente é, distorcendo a curva aprendida.</w:t>
      </w:r>
    </w:p>
    <w:p>
      <w:pPr>
        <w:pStyle w:val="Heading3"/>
      </w:pPr>
      <w:r>
        <w:rPr>
          <w:rFonts w:ascii="Arial" w:hAnsi="Arial"/>
          <w:color w:val="1A3A5C"/>
        </w:rPr>
        <w:t>Risco 4 — Regressividade vertical (COD/PRD/PRB fora da meta)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existem três métricas padrão (usadas por órgãos de avaliação em massa, como o IAAO) para saber se um modelo de avaliação trata igual os imóveis baratos e os caros: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COD</w:t>
      </w:r>
      <w:r>
        <w:rPr>
          <w:rFonts w:ascii="Arial" w:hAnsi="Arial"/>
        </w:rPr>
        <w:t xml:space="preserve"> mede a dispersão geral dos erros (precisão). Meta: ≤15%. Os modelos diagnósticos ficaram em 23,6%–25,3% — melhor que o valor venal atual (35,4%), mas ainda fora da meta.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PRD</w:t>
      </w:r>
      <w:r>
        <w:rPr>
          <w:rFonts w:ascii="Arial" w:hAnsi="Arial"/>
        </w:rPr>
        <w:t xml:space="preserve"> compara a média das razões avaliação/venda com a razão agregada. Um valor acima de 1,03 indica que imóveis baratos tendem a ser </w:t>
      </w:r>
      <w:r>
        <w:rPr>
          <w:rFonts w:ascii="Arial" w:hAnsi="Arial"/>
          <w:b/>
        </w:rPr>
        <w:t>sobreavaliados proporcionalmente mais</w:t>
      </w:r>
      <w:r>
        <w:rPr>
          <w:rFonts w:ascii="Arial" w:hAnsi="Arial"/>
        </w:rPr>
        <w:t xml:space="preserve"> que imóveis caros. Os modelos ficaram em 1,127–1,156 — pior que o valor venal atual (1,115).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PRB</w:t>
      </w:r>
      <w:r>
        <w:rPr>
          <w:rFonts w:ascii="Arial" w:hAnsi="Arial"/>
        </w:rPr>
        <w:t xml:space="preserve"> é uma versão mais robusta do mesmo teste. Valores negativos abaixo de -0,05 confirmam a mesma distorção. Os modelos ficaram em -0,054 e -0,077 — também piores que o valor venal atual (-0,015).</w:t>
      </w:r>
    </w:p>
    <w:p>
      <w:r>
        <w:rPr>
          <w:rFonts w:ascii="Arial" w:hAnsi="Arial"/>
        </w:rPr>
        <w:t xml:space="preserve">Na prática: os três indicadores apontam na mesma direção — os modelos diagnósticos atuais tendem a avaliar proporcionalmente mais alto os imóveis baratos e proporcionalmente mais baixo os imóveis caros, e essa distorção é </w:t>
      </w:r>
      <w:r>
        <w:rPr>
          <w:rFonts w:ascii="Arial" w:hAnsi="Arial"/>
          <w:b/>
        </w:rPr>
        <w:t>maior</w:t>
      </w:r>
      <w:r>
        <w:rPr>
          <w:rFonts w:ascii="Arial" w:hAnsi="Arial"/>
        </w:rPr>
        <w:t xml:space="preserve"> que a do sistema atual que está sendo substituído. Isso tem duas consequências: (1) risco de equidade tributária — contribuintes de imóveis mais baratos ficam mais expostos a sinalização indevida; (2) risco jurídico — a distorção sistemática é um argumento técnico forte para contestação em processo administrativo ou judicial.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Nota: esses números são do modelo atual (treinado na base antiga), não do modelo novo com as decisões desta Lista Final. Ainda assim, a tendência regressiva já presente é um sinal de alerta que não deve ser assumido como "resolvido automaticamente" pelas melhorias de R².</w:t>
      </w:r>
    </w:p>
    <w:p>
      <w:pPr>
        <w:pStyle w:val="Heading3"/>
      </w:pPr>
      <w:r>
        <w:rPr>
          <w:rFonts w:ascii="Arial" w:hAnsi="Arial"/>
          <w:color w:val="1A3A5C"/>
        </w:rPr>
        <w:t>Risco 5 — Vazamento espacial no split treino/teste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a divisão entre treino, validação e teste foi feita por sorteio aleatório. Para imóveis, isso é um problema sutil: apartamentos do mesmo prédio (ou de prédios muito próximos) têm características muito parecidas — mesma localização, mesma idade, muitas vezes o mesmo padrão construtivo. Se um sorteio aleatório colocar unidades do mesmo prédio em treino e em teste, o modelo não está sendo testado em algo realmente "novo" — ele já viu um "gêmeo" daquele imóvel no treino. Isso infla artificialmente as métricas de desempenho e esconde o quão bem o modelo realmente generaliza para prédios ou regiões que nunca viu.</w:t>
      </w:r>
    </w:p>
    <w:p>
      <w:pPr>
        <w:pStyle w:val="Heading3"/>
      </w:pPr>
      <w:r>
        <w:rPr>
          <w:rFonts w:ascii="Arial" w:hAnsi="Arial"/>
          <w:color w:val="1A3A5C"/>
        </w:rPr>
        <w:t>Risco 6 — Proxy de vizinhança (KNN) com risco residual de vazamento em validação/teste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o proxy de localização por KNN usa a mediana de preço dos 10 imóveis mais próximos, excluindo o próprio imóvel do cálculo — isso já evita o erro mais óbvio (o imóvel "se prevendo"). Mas existe um erro mais sutil: se, ao calcular o proxy para um imóvel do conjunto de teste, os vizinhos usados incluírem outros imóveis também do teste (em vez de vir só do treino), o modelo está "espiando" informação que só deveria estar disponível depois — o que infla o desempenho medido em validação/teste sem representar o que acontece na produção real, quando não se tem o valor de venda de um imóvel novo.</w:t>
      </w:r>
    </w:p>
    <w:p>
      <w:pPr>
        <w:pStyle w:val="Heading3"/>
      </w:pPr>
      <w:r>
        <w:rPr>
          <w:rFonts w:ascii="Arial" w:hAnsi="Arial"/>
          <w:color w:val="1A3A5C"/>
        </w:rPr>
        <w:t>Risco 7 — Coeficiente de segurança definido sem análise de custo-benefício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o "coeficiente de segurança" é a margem que decide a partir de que ponto uma diferença entre valor declarado e valor previsto é grande o suficiente para gerar sinalização. Definir esse número (ex.: 95%) sem uma análise que mostre quantos casos reais de subdeclaração passariam despercebidos naquele nível é decidir "no escuro". Um coeficiente muito conservador (para evitar autuar quem declarou certo) pode fazer o sistema não pegar praticamente nada de subdeclaração real; um coeficiente agressivo demais aumenta o risco de falsos positivos discutido no Risco 2.</w:t>
      </w:r>
    </w:p>
    <w:p>
      <w:pPr>
        <w:pStyle w:val="Heading3"/>
      </w:pPr>
      <w:r>
        <w:rPr>
          <w:rFonts w:ascii="Arial" w:hAnsi="Arial"/>
          <w:color w:val="1A3A5C"/>
        </w:rPr>
        <w:t>Risco 8 — Variável "andar da unidade" com baixa cobertura e possível viés de ausência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apenas 35% dos registros têm informação de andar preenchida. A solução proposta (usar o valor quando existe, mais uma marca "tem/não tem informação") é uma boa prática, mas carrega um risco: a ausência dessa informação provavelmente não é aleatória — tende a se concentrar em cadastros mais antigos ou em bairros com processos de regularização menos completos. Nesse caso, a "marca de ausência" não está realmente informando algo sobre o andar do imóvel, e sim funcionando como um proxy disfarçado de "idade do cadastro" ou de região — o que pode confundir a interpretação do modelo e, em casos extremos, reintroduzir viés de localização por uma porta lateral.</w:t>
      </w:r>
    </w:p>
    <w:p>
      <w:pPr>
        <w:pStyle w:val="Heading3"/>
      </w:pPr>
      <w:r>
        <w:rPr>
          <w:rFonts w:ascii="Arial" w:hAnsi="Arial"/>
          <w:color w:val="1A3A5C"/>
        </w:rPr>
        <w:t>Risco 9 — Ausência de tratamento do tempo na base nova (vendas de 2019 a 2026 misturadas) *(acrescentado em 02/07/2026)*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a base limpa nova contém vendas de dezembro/2018 a junho/2026, e a Lista Final de Parâmetros não tem </w:t>
      </w:r>
      <w:r>
        <w:rPr>
          <w:rFonts w:ascii="Arial" w:hAnsi="Arial"/>
          <w:b/>
        </w:rPr>
        <w:t>nenhuma variável de tempo</w:t>
      </w:r>
      <w:r>
        <w:rPr>
          <w:rFonts w:ascii="Arial" w:hAnsi="Arial"/>
        </w:rPr>
        <w:t xml:space="preserve">. Medição feita em 02/07/2026 (`medir_evolucao_temporal.py`): a mediana do R$/m² dos apartamentos subiu </w:t>
      </w:r>
      <w:r>
        <w:rPr>
          <w:rFonts w:ascii="Arial" w:hAnsi="Arial"/>
          <w:b/>
        </w:rPr>
        <w:t>+51% de 2021 a 2026</w:t>
      </w:r>
      <w:r>
        <w:rPr>
          <w:rFonts w:ascii="Arial" w:hAnsi="Arial"/>
        </w:rPr>
        <w:t xml:space="preserve"> (de R$ 3.687 para R$ 5.570). Sem tratamento, o modelo mistura preços de épocas diferentes como se fossem o mesmo mercado — um apartamento vendido em 2021 por preço normal daquele ano pareceria "subdeclarado" aos olhos de um modelo dominado por preços de 2025/2026, e vice-versa. </w:t>
      </w:r>
      <w:r>
        <w:rPr>
          <w:rFonts w:ascii="Arial" w:hAnsi="Arial"/>
          <w:b/>
        </w:rPr>
        <w:t>Fato relevante:</w:t>
      </w:r>
      <w:r>
        <w:rPr>
          <w:rFonts w:ascii="Arial" w:hAnsi="Arial"/>
        </w:rPr>
        <w:t xml:space="preserve"> o pipeline antigo (produção) já trata o tempo por três vias — deflação pelo IPCA (série 433 do Banco Central), divisão treino/validação/teste </w:t>
      </w:r>
      <w:r>
        <w:rPr>
          <w:rFonts w:ascii="Arial" w:hAnsi="Arial"/>
          <w:b/>
        </w:rPr>
        <w:t>por data</w:t>
      </w:r>
      <w:r>
        <w:rPr>
          <w:rFonts w:ascii="Arial" w:hAnsi="Arial"/>
        </w:rPr>
        <w:t xml:space="preserve"> e variável de tendência temporal. O pipeline novo não herdou nenhuma delas ainda. A NBR 14653-2 exige dados contemporâneos ou homogeneizados à data de referência.</w:t>
      </w:r>
    </w:p>
    <w:p>
      <w:pPr>
        <w:pStyle w:val="Heading3"/>
      </w:pPr>
      <w:r>
        <w:rPr>
          <w:rFonts w:ascii="Arial" w:hAnsi="Arial"/>
          <w:color w:val="1A3A5C"/>
        </w:rPr>
        <w:t>Risco 10 — Escolha do tipo de modelo × exigências de fundamentação da norma *(acrescentado em 02/07/2026)*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Explicação didática:</w:t>
      </w:r>
      <w:r>
        <w:rPr>
          <w:rFonts w:ascii="Arial" w:hAnsi="Arial"/>
        </w:rPr>
        <w:t xml:space="preserve"> os diagnósticos usam dois tipos de modelo: a regressão hedônica (linear, explicável, com os testes estatísticos que a NBR 14653-2 usa para dar "grau de fundamentação" — significância, p-valor, etc.) e o LightGBM (não-linear, mais preciso, mas que não produz esses mesmos testes). Se o modelo final for o LightGBM, a defesa normativa não pode se apoiar nos testes clássicos da norma — precisa se apoiar no estudo de razões (IBAPE 7.8.1/IAAO) e na validação em amostra separada. Isso não impede o uso do LightGBM (o IBAPE/SOBREA 2023 admite técnicas computacionais), mas exige que a estratégia de fundamentação seja </w:t>
      </w:r>
      <w:r>
        <w:rPr>
          <w:rFonts w:ascii="Arial" w:hAnsi="Arial"/>
          <w:b/>
        </w:rPr>
        <w:t>decidida por escrito antes do treino</w:t>
      </w:r>
      <w:r>
        <w:rPr>
          <w:rFonts w:ascii="Arial" w:hAnsi="Arial"/>
        </w:rPr>
        <w:t xml:space="preserve">, para não descobrir depois que o modelo escolhido não tem a documentação exigida. Solução natural: manter os </w:t>
      </w:r>
      <w:r>
        <w:rPr>
          <w:rFonts w:ascii="Arial" w:hAnsi="Arial"/>
          <w:b/>
        </w:rPr>
        <w:t>dois modelos em paralelo</w:t>
      </w:r>
      <w:r>
        <w:rPr>
          <w:rFonts w:ascii="Arial" w:hAnsi="Arial"/>
        </w:rPr>
        <w:t xml:space="preserve"> — o hedônico como âncora normativa e "fiscal" do LightGBM; divergência grande entre os dois em um imóvel vira alerta automático de avaliação individual.</w:t>
      </w:r>
    </w:p>
    <w:p/>
    <w:p>
      <w:pPr>
        <w:pStyle w:val="Heading2"/>
      </w:pPr>
      <w:r>
        <w:rPr>
          <w:rFonts w:ascii="Arial" w:hAnsi="Arial"/>
          <w:color w:val="1A3A5C"/>
        </w:rPr>
        <w:t>2. Análises Propostas para Avaliar Melhor Cada Risco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Análise proposta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Contaminação do alvo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Cruzar a base de transações com uma fonte de referência de maior confiança (ex.: avaliações bancárias de financiamento, quando disponíveis) para estimar quantas transações do treino têm indício de subdeclaração. Rodar o modelo diagnóstico separadamente incluindo e excluindo essas transações suspeitas, comparando o quanto a curva de preço muda.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Estimativa pontual vs. faixa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Calcular o intervalo de predição (não só o valor central) para cada imóvel usando os resíduos do modelo por faixa de valor, e simular quantos contribuintes seriam sinalizados usando o valor central vs. usando o limite inferior da faixa.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Duplicidade sem trava técnica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Escrever um teste automatizado que, antes de cada treino, verifique se o número de linhas únicas por `SQTRANSMISSAO`/grupo de duplicata bate com o esperado. Rodar essa checagem como parte do pipeline, não como verificação manual pontual.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Regressividade vertical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Recalcular COD, PRD e PRB </w:t>
            </w:r>
            <w:r>
              <w:rPr>
                <w:rFonts w:ascii="Arial" w:hAnsi="Arial"/>
                <w:b/>
                <w:sz w:val="19"/>
              </w:rPr>
              <w:t>por decil de valor de venda</w:t>
            </w:r>
            <w:r>
              <w:rPr>
                <w:rFonts w:ascii="Arial" w:hAnsi="Arial"/>
                <w:sz w:val="19"/>
              </w:rPr>
              <w:t xml:space="preserve"> (não só agregado) para identificar exatamente em que faixa a distorção se concentra. Repetir a medição assim que o modelo novo (pós Lista Final) estiver treinado, antes de aprovar o resultado.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Vazamento espacial no split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Refazer a divisão treino/teste usando um esquema de separação por bloco espacial (ex.: por prédio ou por setor fiscal) e comparar o R²/COD obtidos nesse split com os do split aleatório atual. Diferença grande entre os dois indica vazamento.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Vazamento no proxy KNN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Auditar o código do cálculo do KNN para confirmar que, para qualquer imóvel de validação/teste, os vizinhos usados no cálculo pertencem exclusivamente ao conjunto de treino. Testar com um caso sintético controlado (imóvel de teste com valor "plantado" apenas nos vizinhos de teste) para confirmar que o proxy não muda.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Coeficiente de segurança sem custo-benefício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Construir uma curva de trade-off: para cada nível de coeficiente (ex.: 80%, 85%, 90%, 95%), medir quantos casos de subdeclaração conhecida (ou simulada) seriam detectados vs. quantos contribuintes corretos seriam sinalizados por engano.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Ausência de "andar" não aleatória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Comparar a distribuição de setor fiscal, idade de cadastro e faixa de preço entre os registros com e sem informação de andar. Testar o modelo com e sem a variável de andar para ver se a "flag de ausência" está carregando informação de localização/idade em vez de andar.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Tempo não tratado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Medir a evolução da mediana de R$/m² por ano (`medir_evolucao_temporal.py`) e decidir com a equipe a forma de homogeneização (deflação por índice, variável de tendência, ou ambas).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Tipo de modelo × norma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Registrar por escrito, antes do treino, a estratégia de fundamentação de cada modelo (hedônico: testes da NBR; LightGBM: estudo de razões + validação em amostra separada).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3. Soluções Propostas</w:t>
      </w:r>
    </w:p>
    <w:p>
      <w:pPr>
        <w:pStyle w:val="Heading3"/>
      </w:pPr>
      <w:r>
        <w:rPr>
          <w:rFonts w:ascii="Arial" w:hAnsi="Arial"/>
          <w:color w:val="1A3A5C"/>
        </w:rPr>
        <w:t>Solução para o Risco 1 — Contaminação do alvo</w:t>
      </w:r>
    </w:p>
    <w:p>
      <w:r>
        <w:rPr>
          <w:rFonts w:ascii="Arial" w:hAnsi="Arial"/>
        </w:rPr>
        <w:t xml:space="preserve">Definir, antes do treino, um critério explícito de tratamento do alvo: (a) se houver fonte de maior confiança (avaliação bancária, laudo), priorizar essas transações como âncora de calibração; (b) na ausência disso, tratar o resultado do modelo como estimativa de </w:t>
      </w:r>
      <w:r>
        <w:rPr>
          <w:rFonts w:ascii="Arial" w:hAnsi="Arial"/>
          <w:b/>
        </w:rPr>
        <w:t>piso de mercado plausível</w:t>
      </w:r>
      <w:r>
        <w:rPr>
          <w:rFonts w:ascii="Arial" w:hAnsi="Arial"/>
        </w:rPr>
        <w:t>, nunca como valor "correto" — e documentar essa limitação no relatório de validação normativa, para que a interpretação do sinalizador leve isso em conta.</w:t>
      </w:r>
    </w:p>
    <w:p>
      <w:pPr>
        <w:pStyle w:val="Heading3"/>
      </w:pPr>
      <w:r>
        <w:rPr>
          <w:rFonts w:ascii="Arial" w:hAnsi="Arial"/>
          <w:color w:val="1A3A5C"/>
        </w:rPr>
        <w:t>Solução para o Risco 2 — Estimativa pontual vs. faixa</w:t>
      </w:r>
    </w:p>
    <w:p>
      <w:r>
        <w:rPr>
          <w:rFonts w:ascii="Arial" w:hAnsi="Arial"/>
        </w:rPr>
        <w:t xml:space="preserve">Adotar como regra de negócio que a sinalização de discrepância use o </w:t>
      </w:r>
      <w:r>
        <w:rPr>
          <w:rFonts w:ascii="Arial" w:hAnsi="Arial"/>
          <w:b/>
        </w:rPr>
        <w:t>limite inferior do intervalo de predição</w:t>
      </w:r>
      <w:r>
        <w:rPr>
          <w:rFonts w:ascii="Arial" w:hAnsi="Arial"/>
        </w:rPr>
        <w:t>, não a estimativa central. Isso já é parcialmente coberto pela previsão do "coeficiente de segurança", mas deve ser formalizado como requisito técnico do pipeline de inferência, não apenas como parâmetro ajustável depois.</w:t>
      </w:r>
    </w:p>
    <w:p>
      <w:pPr>
        <w:pStyle w:val="Heading3"/>
      </w:pPr>
      <w:r>
        <w:rPr>
          <w:rFonts w:ascii="Arial" w:hAnsi="Arial"/>
          <w:color w:val="1A3A5C"/>
        </w:rPr>
        <w:t>Solução para o Risco 3 — Duplicidade sem trava técnica</w:t>
      </w:r>
    </w:p>
    <w:p>
      <w:r>
        <w:rPr>
          <w:rFonts w:ascii="Arial" w:hAnsi="Arial"/>
        </w:rPr>
        <w:t>Implementar a deduplicação como etapa de código versionada e testada (não como instrução textual seguida manualmente), com um teste automatizado que bloqueia o treino se a contagem de linhas não bater com o esperado.</w:t>
      </w:r>
    </w:p>
    <w:p>
      <w:pPr>
        <w:pStyle w:val="Heading3"/>
      </w:pPr>
      <w:r>
        <w:rPr>
          <w:rFonts w:ascii="Arial" w:hAnsi="Arial"/>
          <w:color w:val="1A3A5C"/>
        </w:rPr>
        <w:t>Solução para o Risco 4 — Regressividade vertical</w:t>
      </w:r>
    </w:p>
    <w:p>
      <w:r>
        <w:rPr>
          <w:rFonts w:ascii="Arial" w:hAnsi="Arial"/>
        </w:rPr>
        <w:t xml:space="preserve">Tornar PRD e PRB </w:t>
      </w:r>
      <w:r>
        <w:rPr>
          <w:rFonts w:ascii="Arial" w:hAnsi="Arial"/>
          <w:b/>
        </w:rPr>
        <w:t>critérios formais de aprovação</w:t>
      </w:r>
      <w:r>
        <w:rPr>
          <w:rFonts w:ascii="Arial" w:hAnsi="Arial"/>
        </w:rPr>
        <w:t xml:space="preserve"> do modelo final (com meta 0,98–1,03 e -0,05/+0,05, respectivamente), e não apenas métricas de acompanhamento. Se o modelo novo continuar fora da meta, testar: (a) ponderação por faixa de valor no treino; (b) modelagem do erro percentual em vez do valor em log; (c) segmentação do modelo por faixa de valor, caso a distorção esteja concentrada em uma ponta específica.</w:t>
      </w:r>
    </w:p>
    <w:p>
      <w:pPr>
        <w:pStyle w:val="Heading3"/>
      </w:pPr>
      <w:r>
        <w:rPr>
          <w:rFonts w:ascii="Arial" w:hAnsi="Arial"/>
          <w:color w:val="1A3A5C"/>
        </w:rPr>
        <w:t>Solução para o Risco 5 — Vazamento espacial no split</w:t>
      </w:r>
    </w:p>
    <w:p>
      <w:r>
        <w:rPr>
          <w:rFonts w:ascii="Arial" w:hAnsi="Arial"/>
        </w:rPr>
        <w:t>Adotar um esquema de validação cruzada espacial (block cross-validation) como validação complementar ao split aleatório atual, reportando as duas métricas lado a lado no relatório de validação normativa — isso dá uma visão mais realista do desempenho do modelo em regiões não vistas.</w:t>
      </w:r>
    </w:p>
    <w:p>
      <w:pPr>
        <w:pStyle w:val="Heading3"/>
      </w:pPr>
      <w:r>
        <w:rPr>
          <w:rFonts w:ascii="Arial" w:hAnsi="Arial"/>
          <w:color w:val="1A3A5C"/>
        </w:rPr>
        <w:t>Solução para o Risco 6 — Vazamento no proxy KNN</w:t>
      </w:r>
    </w:p>
    <w:p>
      <w:r>
        <w:rPr>
          <w:rFonts w:ascii="Arial" w:hAnsi="Arial"/>
        </w:rPr>
        <w:t>Formalizar por escrito, no pipeline, a regra "vizinhos do KNN sempre vêm exclusivamente do conjunto de treino" e incluir essa regra como item de checklist na etapa de treino (Etapa 4), com teste automatizado equivalente ao proposto na análise.</w:t>
      </w:r>
    </w:p>
    <w:p>
      <w:pPr>
        <w:pStyle w:val="Heading3"/>
      </w:pPr>
      <w:r>
        <w:rPr>
          <w:rFonts w:ascii="Arial" w:hAnsi="Arial"/>
          <w:color w:val="1A3A5C"/>
        </w:rPr>
        <w:t>Solução para o Risco 7 — Coeficiente de segurança</w:t>
      </w:r>
    </w:p>
    <w:p>
      <w:r>
        <w:rPr>
          <w:rFonts w:ascii="Arial" w:hAnsi="Arial"/>
        </w:rPr>
        <w:t>Substituir a decisão de coeficiente fixo (ex.: 95% "por precaução") por uma decisão baseada na curva de custo-benefício da análise proposta, escolhendo o ponto que equilibra explicitamente o risco de autuação indevida contra o risco de deixar passar subdeclaração real — com essa escolha registrada e justificada no processo de aprovação.</w:t>
      </w:r>
    </w:p>
    <w:p>
      <w:pPr>
        <w:pStyle w:val="Heading3"/>
      </w:pPr>
      <w:r>
        <w:rPr>
          <w:rFonts w:ascii="Arial" w:hAnsi="Arial"/>
          <w:color w:val="1A3A5C"/>
        </w:rPr>
        <w:t>Solução para o Risco 8 — Ausência de "andar" não aleatória</w:t>
      </w:r>
    </w:p>
    <w:p>
      <w:r>
        <w:rPr>
          <w:rFonts w:ascii="Arial" w:hAnsi="Arial"/>
        </w:rPr>
        <w:t>Manter a estratégia de "valor + flag de ausência" apenas se a análise de distribuição confirmar que a ausência não está simplesmente replicando o efeito de localização/idade já capturado por outras variáveis. Caso a análise confirme essa sobreposição, considerar remover a variável "andar" da lista final ou usá-la apenas como variável auxiliar de baixa importância, sem risco de reintroduzir viés geográfico por via indireta.</w:t>
      </w:r>
    </w:p>
    <w:p>
      <w:pPr>
        <w:pStyle w:val="Heading3"/>
      </w:pPr>
      <w:r>
        <w:rPr>
          <w:rFonts w:ascii="Arial" w:hAnsi="Arial"/>
          <w:color w:val="1A3A5C"/>
        </w:rPr>
        <w:t>Solução para o Risco 9 — Tempo não tratado *(acrescentado em 02/07/2026)*</w:t>
      </w:r>
    </w:p>
    <w:p>
      <w:r>
        <w:rPr>
          <w:rFonts w:ascii="Arial" w:hAnsi="Arial"/>
        </w:rPr>
        <w:t>Levar à equipe a decisão sobre a forma de homogeneização temporal, com três opções técnicas conhecidas (e já praticadas no pipeline antigo): (a) deflação dos valores por índice de preços (IPCA, série 433 do BCB) até a data de referência; (b) variável de tendência temporal no modelo; (c) combinação das duas. Nenhuma das opções deve ser adotada sem registro formal da escolha.</w:t>
      </w:r>
    </w:p>
    <w:p>
      <w:pPr>
        <w:pStyle w:val="Heading3"/>
      </w:pPr>
      <w:r>
        <w:rPr>
          <w:rFonts w:ascii="Arial" w:hAnsi="Arial"/>
          <w:color w:val="1A3A5C"/>
        </w:rPr>
        <w:t>Solução para o Risco 10 — Tipo de modelo × norma *(acrescentado em 02/07/2026)*</w:t>
      </w:r>
    </w:p>
    <w:p>
      <w:r>
        <w:rPr>
          <w:rFonts w:ascii="Arial" w:hAnsi="Arial"/>
        </w:rPr>
        <w:t>Manter os dois modelos em paralelo (hedônico como âncora normativa; LightGBM como refinamento), registrar por escrito a estratégia de fundamentação de cada um antes do treino, e usar a divergência entre os dois como alerta automático de avaliação individual.</w:t>
      </w:r>
    </w:p>
    <w:p/>
    <w:p>
      <w:pPr>
        <w:pStyle w:val="Heading2"/>
      </w:pPr>
      <w:r>
        <w:rPr>
          <w:rFonts w:ascii="Arial" w:hAnsi="Arial"/>
          <w:color w:val="1A3A5C"/>
        </w:rPr>
        <w:t>4. Adendo — Análises executadas em 02/07/2026</w:t>
      </w:r>
    </w:p>
    <w:p>
      <w:r>
        <w:rPr>
          <w:rFonts w:ascii="Arial" w:hAnsi="Arial"/>
        </w:rPr>
        <w:t>As ferramentas abaixo foram criadas e executadas; nenhum dado foi alterado.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 que faz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Resultado da primeira execução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`verificacoes_pre_treino.py`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Travas que </w:t>
            </w:r>
            <w:r>
              <w:rPr>
                <w:rFonts w:ascii="Arial" w:hAnsi="Arial"/>
                <w:b/>
                <w:sz w:val="19"/>
              </w:rPr>
              <w:t>bloqueiam o treino</w:t>
            </w:r>
            <w:r>
              <w:rPr>
                <w:rFonts w:ascii="Arial" w:hAnsi="Arial"/>
                <w:sz w:val="19"/>
              </w:rPr>
              <w:t xml:space="preserve"> se houver duplicata, sobreposição treino/teste ou dedup pendente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BLOQUEADO (proposital)</w:t>
            </w:r>
            <w:r>
              <w:rPr>
                <w:rFonts w:ascii="Arial" w:hAnsi="Arial"/>
                <w:sz w:val="19"/>
              </w:rPr>
              <w:t xml:space="preserve">: 6 IDs repetidos no treino; </w:t>
            </w:r>
            <w:r>
              <w:rPr>
                <w:rFonts w:ascii="Arial" w:hAnsi="Arial"/>
                <w:b/>
                <w:sz w:val="19"/>
              </w:rPr>
              <w:t>6 transações presentes ao mesmo tempo no treino e na validação/teste</w:t>
            </w:r>
            <w:r>
              <w:rPr>
                <w:rFonts w:ascii="Arial" w:hAnsi="Arial"/>
                <w:sz w:val="19"/>
              </w:rPr>
              <w:t xml:space="preserve"> (vazamento real — os 12 `SQTRANSMISSAO` duplicados da pendência da Etapa 1 caíram em conjuntos diferentes); 6.129 linhas de venda repetida no treino aguardando decisão de dedup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`gerar_manifesto_treino.py`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Congela a "impressão digital" (SHA-256) da base, das amostras e dos scripts em `manifesto_treino.json`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Manifesto gerado — qualquer alteração futura em dados ou código será detectável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`comparar_split_espacial.py`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Compara divisão aleatória × por bloco de prédio (mesmo modelo diagnóstico das Etapas 5/7)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O receio do Risco 5 não se confirmou</w:t>
            </w:r>
            <w:r>
              <w:rPr>
                <w:rFonts w:ascii="Arial" w:hAnsi="Arial"/>
                <w:sz w:val="19"/>
              </w:rPr>
              <w:t>: erro mediano praticamente igual (18,4% aleatório × 18,2% por prédio); nenhum sinal de inflação por "gêmeos de prédio". O sorteio aleatório da Etapa 1 mostrou-se defensável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`metricas_iaao_por_decil.py`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COD/PRD/PRB por decil de valor — pronto para o modelo novo pós-treino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Demonstração com o valor venal atual: vendas simbólicas (R$ 0,01) concentram-se no 1º decil e explodem as métricas de média; razão mediana de 0,85–0,91 nos decis 2–4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`medir_evolucao_temporal.py`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Mede a evolução da mediana de R$/m² por ano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+51% de 2021 a 2026</w:t>
            </w:r>
            <w:r>
              <w:rPr>
                <w:rFonts w:ascii="Arial" w:hAnsi="Arial"/>
                <w:sz w:val="19"/>
              </w:rPr>
              <w:t xml:space="preserve"> (R$ 3.687 → R$ 5.570) — dimensiona o Risco 9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Auditoria do KNN (Etapa 7)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Leitura do código do proxy de vizinhança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O cálculo diagnóstico exclui o próprio imóvel, mas usa vizinhos da base inteira — aceitável para a correlação medida na Etapa 7; a regra "vizinhos só do treino" </w:t>
            </w:r>
            <w:r>
              <w:rPr>
                <w:rFonts w:ascii="Arial" w:hAnsi="Arial"/>
                <w:b/>
                <w:sz w:val="19"/>
              </w:rPr>
              <w:t>ainda não existe em código</w:t>
            </w:r>
            <w:r>
              <w:rPr>
                <w:rFonts w:ascii="Arial" w:hAnsi="Arial"/>
                <w:sz w:val="19"/>
              </w:rPr>
              <w:t xml:space="preserve"> e deve ser requisito da Etapa 4 (consta no checklist da trava)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Criticidade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Bloqueia treino?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1. Contaminação do alvo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Crítica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Recomendado resolver antes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4. Regressividade vertical (COD/PRD/PRB)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Crítica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Recomendado medir no modelo novo antes de aprovar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9. Tempo não tratado (+51% de 2021 a 2026)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Crítica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Deve ser decidido antes do treino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2. Estimativa pontual vs. faixa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Pode ser regra de inferência, não bloqueia treino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3. Duplicidade sem trava técnica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Trava criada e ativa</w:t>
            </w:r>
            <w:r>
              <w:rPr>
                <w:rFonts w:ascii="Arial" w:hAnsi="Arial"/>
                <w:sz w:val="19"/>
              </w:rPr>
              <w:t xml:space="preserve"> — treino bloqueado até a equipe decidir a dedup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10. Tipo de modelo × norma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Alta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Estratégia de fundamentação deve ser registrada antes do treino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5. Vazamento espacial no split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Média-alta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Medido em 02/07/2026 — não se confirmou</w:t>
            </w:r>
            <w:r>
              <w:rPr>
                <w:rFonts w:ascii="Arial" w:hAnsi="Arial"/>
                <w:sz w:val="19"/>
              </w:rPr>
              <w:t xml:space="preserve"> (erro mediano 18,4% × 18,2%)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6. Vazamento no proxy KNN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Média-alta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Auditado — regra "vizinhos só do treino" é requisito de código da Etapa 4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7. Coeficiente de segurança sem custo-benefício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Pode ser refinado após o treino, antes da produção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8. Ausência de "andar" não aleatória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Baixa-média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Pode ser avaliado em paralelo ao treino</w:t>
            </w:r>
          </w:p>
        </w:tc>
      </w:tr>
    </w:tbl>
    <w:p/>
    <w:p>
      <w:r>
        <w:rPr>
          <w:rFonts w:ascii="Arial" w:hAnsi="Arial"/>
        </w:rPr>
        <w:t>Este parecer não substitui a decisão da equipe registrada nos documentos de aprovação — é uma camada adicional de verificação técnica para subsidiar essa decisão antes da Etapa 4 (Treino do modelo).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Junho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