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Parecer Técnico — Riscos do Modelo de Avaliação de Apartamentos (ITIV)</w:t>
      </w:r>
    </w:p>
    <w:p>
      <w:r>
        <w:rPr>
          <w:color w:val="5B665F"/>
        </w:rPr>
        <w:t xml:space="preserve">Coordenadoria de Inteligência Fiscal — SEFAZ Salvador</w:t>
      </w:r>
    </w:p>
    <w:p>
      <w:r>
        <w:rPr>
          <w:color w:val="5B665F"/>
        </w:rPr>
        <w:t xml:space="preserve">Referência: Engenharia de Parâmetros (Etapas 1–7) e Lista Final de Parâmetros — Apartamentos</w:t>
      </w:r>
    </w:p>
    <w:p>
      <w:r>
        <w:rPr>
          <w:i/>
          <w:iCs/>
          <w:color w:val="5B665F"/>
        </w:rPr>
        <w:t xml:space="preserve">Data de emissão: 08/07/2026  |  Elaboração: Coordenadoria de Inteligência Fiscal  |  Destinatário: Equipe técnica do projeto de avaliação imobiliária (ITIV)</w:t>
      </w:r>
    </w:p>
    <w:p>
      <w:r>
        <w:t xml:space="preserve">Objetivo do documento: apontar riscos identificados na revisão técnica, apresentar as análises realizadas para dimensioná-los e registrar as soluções técnicas adotadas antes do treino do modelo (Etapa 4).</w:t>
      </w:r>
    </w:p>
    <w:p>
      <w:pPr>
        <w:pStyle w:val="Heading2"/>
      </w:pPr>
      <w:r>
        <w:t xml:space="preserve">Resumo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Criticidade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Encaminhamento técnico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Contaminação do alvo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Resolver antes do treino, conforme critério definido neste parecer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Regressividade vertical (COD/PRD/PRB)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Medir no modelo novo antes da aprovação final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 Tempo não tratado (+51% de 2021 a 2026)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Homogeneização temporal definida antes do treino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Estimativa pontual vs. faixa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Regra de inferência adotada — não bloqueia o treino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Duplicidade sem trava técnica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Trava técnica implementada no pipeline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 Tipo de modelo × norma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Estratégia de fundamentação registrada neste parecer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Vazamento espacial no split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Média-alta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Medido em 02/07/2026 — não se confirmou (erro mediano 18,4% × 18,2%)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 Vazamento no proxy KNN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Média-alta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Auditado — regra de vizinhança exclusiva do treino é requisito de código da Etapa 4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 Coeficiente de segurança sem custo-benefício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Refinamento previsto após o treino, antes da produção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 Ausência de "andar" não aleatória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Baixa-média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Avaliação conduzida em paralelo ao treino</w:t>
            </w:r>
          </w:p>
        </w:tc>
      </w:tr>
    </w:tbl>
    <w:p>
      <w:pPr>
        <w:pStyle w:val="Heading2"/>
      </w:pPr>
      <w:r>
        <w:t xml:space="preserve">Como ler este documento</w:t>
      </w:r>
    </w:p>
    <w:p>
      <w:r>
        <w:t xml:space="preserve">Cada risco é apresentado em três blocos: o que é o risco (explicação didática), como foi ou será medido (análise técnica) e qual a solução adotada. Os riscos estão detalhados na Seção 1 na ordem em que foram mapeados; a criticidade de cada um, para fins de priorização, está no Resumo Executivo acima.</w:t>
      </w:r>
    </w:p>
    <w:p>
      <w:pPr>
        <w:pStyle w:val="Heading2"/>
      </w:pPr>
      <w:r>
        <w:t xml:space="preserve">1. Riscos Encontrados</w:t>
      </w:r>
    </w:p>
    <w:p>
      <w:pPr>
        <w:pStyle w:val="Heading3"/>
      </w:pPr>
      <w:r>
        <w:t xml:space="preserve">Risco 1 — Contaminação do alvo (a variável que queremos prever já contém o problema que queremos detectar)</w:t>
      </w:r>
    </w:p>
    <w:p>
      <w:r>
        <w:t xml:space="preserve">Explicação didática: o modelo será treinado para aprender o padrão “características do imóvel → valor de mercado” usando como referência VLTRANSACAO, isto é, o valor que o contribuinte declarou na transação. Mas o próprio objetivo do sistema é encontrar contribuintes que declararam um valor distante do mercado — ou seja, declararam errado de propósito. Isso cria um paradoxo: se uma parcela relevante das transações de treino já é subdeclarada, o modelo aprende que aquele padrão de “imóvel bom, valor baixo” é normal, e passa a não sinalizar exatamente os casos que deveria pegar. É como treinar um detector de mentiras usando depoimentos que já contêm mentiras não identificadas como exemplo de “verdade”.</w:t>
      </w:r>
    </w:p>
    <w:p>
      <w:r>
        <w:t xml:space="preserve">Isso é diferente de outlier estatístico. Um outlier (ex.: venda de R$ 0,01) é fácil de identificar e remover. Subdeclaração “normal” (ex.: imóvel de R$ 500 mil declarado por R$ 400 mil) fica dentro da distribuição normal de preços e não é pega por nenhum critério estatístico — ela se mistura ao ruído legítimo do mercado (negociação, urgência de venda, relação entre as partes, etc.).</w:t>
      </w:r>
    </w:p>
    <w:p>
      <w:pPr>
        <w:pStyle w:val="Heading3"/>
      </w:pPr>
      <w:r>
        <w:t xml:space="preserve">Risco 2 — Uso de estimativa pontual em decisão que deveria usar faixa de confiança</w:t>
      </w:r>
    </w:p>
    <w:p>
      <w:r>
        <w:t xml:space="preserve">Explicação didática: o R² dos modelos diagnósticos ficou entre 0,50 e 0,70 — ou seja, o modelo explica de 50% a 70% da variação dos preços. Isso é um resultado tecnicamente bom para esse tipo de problema, mas significa que, para um imóvel específico, o valor previsto tem uma margem de erro considerável. Se o sistema simplesmente compara “valor declarado” contra “valor previsto pelo modelo” e sinaliza quando a diferença é grande, ele vai gerar falsos positivos: contribuintes que declararam corretamente, mas cujo imóvel tem alguma característica não capturada pelo modelo (reforma, vista, estado de conservação), ficarão marcados como suspeitos só porque a previsão pontual errou.</w:t>
      </w:r>
    </w:p>
    <w:p>
      <w:pPr>
        <w:pStyle w:val="Heading3"/>
      </w:pPr>
      <w:r>
        <w:t xml:space="preserve">Risco 3 — Duplicidade de transações e trava técnica de deduplicação</w:t>
      </w:r>
    </w:p>
    <w:p>
      <w:r>
        <w:t xml:space="preserve">Explicação didática: foram encontrados 13.239 registros que parecem ser a mesma venda repetida (mesma inscrição, data e valor, mesmas partes). A equipe decidiu manter esses registros na base histórica; a orientação técnica deste parecer é contar cada venda uma única vez no treino, para que o modelo não aprenda um padrão de preço distorcido pela repetição. Essa regra foi implementada como trava de código (ver Seção 4), que impede o treino caso a contagem de linhas únicas não corresponda ao esperado — evitando que a mesma venda entre várias vezes e distorça a curva aprendida.</w:t>
      </w:r>
    </w:p>
    <w:p>
      <w:pPr>
        <w:pStyle w:val="Heading3"/>
      </w:pPr>
      <w:r>
        <w:t xml:space="preserve">Risco 4 — Regressividade vertical (COD/PRD/PRB fora da meta)</w:t>
      </w:r>
    </w:p>
    <w:p>
      <w:r>
        <w:t xml:space="preserve">Explicação didática: existem três métricas padrão (usadas por órgãos de avaliação em massa, como o IAAO) para saber se um modelo de avaliação trata igual os imóveis baratos e os caros:</w:t>
      </w:r>
    </w:p>
    <w:p>
      <w:pPr>
        <w:pStyle w:val="ListParagraph"/>
        <w:numPr>
          <w:ilvl w:val="0"/>
          <w:numId w:val="2"/>
        </w:numPr>
      </w:pPr>
      <w:r>
        <w:t xml:space="preserve">COD mede a dispersão geral dos erros (precisão). Meta: ≤15%. Os modelos diagnósticos ficaram em 23,6%–25,3% — melhor que o valor venal atual (35,4%), mas ainda fora da meta.</w:t>
      </w:r>
    </w:p>
    <w:p>
      <w:pPr>
        <w:pStyle w:val="ListParagraph"/>
        <w:numPr>
          <w:ilvl w:val="0"/>
          <w:numId w:val="2"/>
        </w:numPr>
      </w:pPr>
      <w:r>
        <w:t xml:space="preserve">PRD compara a média das razões avaliação/venda com a razão agregada. Um valor acima de 1,03 indica que imóveis baratos tendem a ser sobreavaliados proporcionalmente mais que imóveis caros. Os modelos ficaram em 1,127–1,156 — pior que o valor venal atual (1,115).</w:t>
      </w:r>
    </w:p>
    <w:p>
      <w:pPr>
        <w:pStyle w:val="ListParagraph"/>
        <w:numPr>
          <w:ilvl w:val="0"/>
          <w:numId w:val="2"/>
        </w:numPr>
      </w:pPr>
      <w:r>
        <w:t xml:space="preserve">PRB é uma versão mais robusta do mesmo teste. Valores negativos abaixo de -0,05 confirmam a mesma distorção. Os modelos ficaram em -0,054 e -0,077 — também piores que o valor venal atual (-0,015).</w:t>
      </w:r>
    </w:p>
    <w:p>
      <w:r>
        <w:t xml:space="preserve">Na prática: os três indicadores apontam na mesma direção — os modelos diagnósticos atuais tendem a avaliar proporcionalmente mais alto os imóveis baratos e proporcionalmente mais baixo os imóveis caros, e essa distorção é maior que a do sistema atual que está sendo substituído. Isso tem duas consequências: (1) risco de equidade tributária — contribuintes de imóveis mais baratos ficam mais expostos a sinalização indevida; (2) risco jurídico — a distorção sistemática é um argumento técnico forte para contestação em processo administrativo ou judicial.</w:t>
      </w:r>
    </w:p>
    <w:p>
      <w:r>
        <w:t xml:space="preserve">Nota: esses números são do modelo atual (treinado na base antiga), não do modelo novo com as decisões desta Lista Final. Ainda assim, a tendência regressiva já presente é um sinal de alerta que não deve ser assumido como “resolvido automaticamente” pelas melhorias de R².</w:t>
      </w:r>
    </w:p>
    <w:p>
      <w:pPr>
        <w:pStyle w:val="Heading3"/>
      </w:pPr>
      <w:r>
        <w:t xml:space="preserve">Risco 5 — Vazamento espacial no split treino/teste</w:t>
      </w:r>
    </w:p>
    <w:p>
      <w:r>
        <w:t xml:space="preserve">Situação em 02/07/2026: medido e não confirmado — ver detalhamento na Seção 4. O texto abaixo descreve o risco tal como mapeado originalmente.</w:t>
      </w:r>
    </w:p>
    <w:p>
      <w:r>
        <w:t xml:space="preserve">Explicação didática: a divisão entre treino, validação e teste foi feita por sorteio aleatório. Para imóveis, isso é um problema sutil: apartamentos do mesmo prédio (ou de prédios muito próximos) têm características muito parecidas — mesma localização, mesma idade, muitas vezes o mesmo padrão construtivo. Se um sorteio aleatório colocar unidades do mesmo prédio em treino e em teste, o modelo não está sendo testado em algo realmente “novo” — ele já viu um “gêmeo” daquele imóvel no treino. Isso pode inflar artificialmente as métricas de desempenho e esconder o quão bem o modelo realmente generaliza para prédios ou regiões que nunca viu.</w:t>
      </w:r>
    </w:p>
    <w:p>
      <w:pPr>
        <w:pStyle w:val="Heading3"/>
      </w:pPr>
      <w:r>
        <w:t xml:space="preserve">Risco 6 — Proxy de vizinhança (KNN) e regra de exclusividade do treino</w:t>
      </w:r>
    </w:p>
    <w:p>
      <w:r>
        <w:t xml:space="preserve">Explicação didática: o proxy de localização por KNN usa a mediana de preço dos 10 imóveis mais próximos, excluindo o próprio imóvel do cálculo — isso já evita o erro mais óbvio (o imóvel “se prevendo”). Existe um cuidado adicional necessário: se, ao calcular o proxy para um imóvel do conjunto de teste, os vizinhos usados incluírem outros imóveis também do teste (em vez de vir só do treino), o modelo estaria “espiando” informação que só deveria estar disponível depois — o que infla o desempenho medido em validação/teste sem representar o que acontece na produção real, quando não se tem o valor de venda de um imóvel novo. A regra técnica adotada é detalhada na Seção 3.</w:t>
      </w:r>
    </w:p>
    <w:p>
      <w:pPr>
        <w:pStyle w:val="Heading3"/>
      </w:pPr>
      <w:r>
        <w:t xml:space="preserve">Risco 7 — Coeficiente de segurança e análise de custo-benefício</w:t>
      </w:r>
    </w:p>
    <w:p>
      <w:r>
        <w:t xml:space="preserve">Explicação didática: o “coeficiente de segurança” é a margem que decide a partir de que ponto uma diferença entre valor declarado e valor previsto é grande o suficiente para gerar sinalização. Esse número deve ser definido a partir de uma análise que mostre quantos casos reais de subdeclaração passariam despercebidos naquele nível — e não de forma arbitrária. Um coeficiente muito conservador (para evitar autuar quem declarou certo) pode fazer o sistema não pegar praticamente nada de subdeclaração real; um coeficiente agressivo demais aumenta o risco de falsos positivos discutido no Risco 2.</w:t>
      </w:r>
    </w:p>
    <w:p>
      <w:pPr>
        <w:pStyle w:val="Heading3"/>
      </w:pPr>
      <w:r>
        <w:t xml:space="preserve">Risco 8 — Variável “andar da unidade” com baixa cobertura e possível viés de ausência</w:t>
      </w:r>
    </w:p>
    <w:p>
      <w:r>
        <w:t xml:space="preserve">Explicação didática: apenas 35% dos registros têm informação de andar preenchida. A estratégia técnica adotada (usar o valor quando existe, mais uma marca “tem/não tem informação”) é uma boa prática, mas carrega um risco a monitorar: a ausência dessa informação provavelmente não é aleatória — tende a se concentrar em cadastros mais antigos ou em bairros com processos de regularização menos completos. Nesse caso, a “marca de ausência” não estaria realmente informando algo sobre o andar do imóvel, e sim funcionando como um proxy disfarçado de “idade do cadastro” ou de região — o que pode confundir a interpretação do modelo e, em casos extremos, reintroduzir viés de localização por uma porta lateral.</w:t>
      </w:r>
    </w:p>
    <w:p>
      <w:pPr>
        <w:pStyle w:val="Heading3"/>
      </w:pPr>
      <w:r>
        <w:t xml:space="preserve">Risco 9 — Tratamento do tempo na base nova (vendas de dezembro/2018 a junho/2026 misturadas)</w:t>
      </w:r>
    </w:p>
    <w:p>
      <w:r>
        <w:t xml:space="preserve">Acrescentado em 02/07/2026.</w:t>
      </w:r>
    </w:p>
    <w:p>
      <w:r>
        <w:t xml:space="preserve">Explicação didática: a base limpa nova contém vendas de dezembro/2018 a junho/2026, e a Lista Final de Parâmetros não tem nenhuma variável de tempo. Medição feita em 02/07/2026 (medir_evolucao_temporal.py): a mediana do R$/m² dos apartamentos subiu +51% de 2021 a 2026 (de R$ 3.687 para R$ 5.570). Sem tratamento, o modelo mistura preços de épocas diferentes como se fossem o mesmo mercado — um apartamento vendido em 2021 por preço normal daquele ano pareceria “subdeclarado” aos olhos de um modelo dominado por preços de 2025/2026, e vice-versa. Fato relevante: o pipeline antigo (produção) já trata o tempo por três vias — deflação pelo IPCA (série 433 do Banco Central), divisão treino/validação/teste por data e variável de tendência temporal. O pipeline novo ainda não herdou nenhuma delas. A NBR 14653-2 exige dados contemporâneos ou homogeneizados à data de referência.</w:t>
      </w:r>
    </w:p>
    <w:p>
      <w:pPr>
        <w:pStyle w:val="Heading3"/>
      </w:pPr>
      <w:r>
        <w:t xml:space="preserve">Risco 10 — Escolha do tipo de modelo e exigências de fundamentação da norma</w:t>
      </w:r>
    </w:p>
    <w:p>
      <w:r>
        <w:t xml:space="preserve">Acrescentado em 02/07/2026.</w:t>
      </w:r>
    </w:p>
    <w:p>
      <w:r>
        <w:t xml:space="preserve">Explicação didática: os diagnósticos usam dois tipos de modelo: a regressão hedônica (linear, explicável, com os testes estatísticos que a NBR 14653-2 usa para dar “grau de fundamentação” — significância, p-valor, etc.) e o LightGBM (não linear, mais preciso, mas que não produz esses mesmos testes). Se o modelo final for o LightGBM, a defesa normativa não pode se apoiar nos testes clássicos da norma — precisa se apoiar no estudo de razões (IBAPE 7.8.1/IAAO) e na validação em amostra separada. Isso não impede o uso do LightGBM (o IBAPE/SOBREA 2023 admite técnicas computacionais), mas exige que a estratégia de fundamentação seja decidida por escrito antes do treino. A solução adotada — manter os dois modelos em paralelo — está detalhada na Seção 3.</w:t>
      </w:r>
    </w:p>
    <w:p>
      <w:pPr>
        <w:pStyle w:val="Heading2"/>
      </w:pPr>
      <w:r>
        <w:t xml:space="preserve">2. Análises Realizadas para Dimensionar Cada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0"/>
        <w:gridCol w:w="5600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Risco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Análise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Contaminação do alvo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Cruzamento da base de transações com fonte de referência de maior confiança (ex.: avaliações bancárias de financiamento, quando disponíveis) para estimar quantas transações do treino têm indício de subdeclaração. Comparação do modelo diagnóstico incluindo e excluindo essas transações suspeitas.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Estimativa pontual vs. faixa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Cálculo do intervalo de predição (não só o valor central) para cada imóvel usando os resíduos do modelo por faixa de valor, com simulação de quantos contribuintes seriam sinalizados usando o valor central vs. o limite inferior da faixa.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Duplicidade e trava técnica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 automatizado que, antes de cada treino, verifica se o número de linhas únicas por SQTRANSMISSAO/grupo de duplicata bate com o esperado, como parte do pipeline.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Regressividade vertical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Recálculo de COD, PRD e PRB por decil de valor de venda (não só agregado), repetindo a medição assim que o modelo novo estiver treinado, antes da aprovação do resultado.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Vazamento espacial no split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Comparação da divisão treino/teste usando um esquema de separação por bloco espacial (por prédio ou setor fiscal) com o R²/COD obtidos no split aleatório atual.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Vazamento no proxy KNN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Auditoria do código do cálculo do KNN para confirmar que os vizinhos usados para qualquer imóvel de validação/teste pertencem exclusivamente ao conjunto de treino, com teste sintético controlado.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Coeficiente de segurança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Construção de uma curva de custo-benefício: para cada nível de coeficiente (ex.: 80%, 85%, 90%, 95%), medição de quantos casos de subdeclaração conhecida (ou simulada) seriam detectados vs. quantos contribuintes corretos seriam sinalizados por engano.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Ausência de “andar” não aleatória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Comparação da distribuição de setor fiscal, idade de cadastro e faixa de preço entre registros com e sem informação de andar; teste do modelo com e sem a variável.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Tempo não tratado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Medição da evolução da mediana de R$/m² por ano (medir_evolucao_temporal.py) e definição, junto à equipe, da forma de homogeneização (deflação por índice, variável de tendência, ou ambas).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 de modelo e norma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Registro por escrito, antes do treino, da estratégia de fundamentação de cada modelo (hedônico: testes da NBR; LightGBM: estudo de razões + validação em amostra separada).</w:t>
            </w:r>
          </w:p>
        </w:tc>
      </w:tr>
    </w:tbl>
    <w:p>
      <w:pPr>
        <w:pStyle w:val="Heading2"/>
      </w:pPr>
      <w:r>
        <w:t xml:space="preserve">3. Soluções Adotadas</w:t>
      </w:r>
    </w:p>
    <w:p>
      <w:pPr>
        <w:pStyle w:val="Heading3"/>
      </w:pPr>
      <w:r>
        <w:t xml:space="preserve">Solução para o Risco 1 — Contaminação do alvo</w:t>
      </w:r>
    </w:p>
    <w:p>
      <w:r>
        <w:t xml:space="preserve">Critério de tratamento do alvo definido antes do treino: (a) quando houver fonte de maior confiança (avaliação bancária, laudo), essas transações são priorizadas como âncora de calibração; (b) na ausência disso, o resultado do modelo é tratado como estimativa de piso de mercado plausível, nunca como valor “correto” — essa limitação é documentada no relatório de validação normativa, para que a interpretação do sinalizador leve isso em conta.</w:t>
      </w:r>
    </w:p>
    <w:p>
      <w:pPr>
        <w:pStyle w:val="Heading3"/>
      </w:pPr>
      <w:r>
        <w:t xml:space="preserve">Solução para o Risco 2 — Estimativa pontual vs. faixa</w:t>
      </w:r>
    </w:p>
    <w:p>
      <w:r>
        <w:t xml:space="preserve">Regra de negócio adotada: a sinalização de discrepância usa o limite inferior do intervalo de predição, não a estimativa central. Essa regra é formalizada como requisito técnico do pipeline de inferência, e não apenas como parâmetro ajustável depois — está integrada à previsão do coeficiente de segurança.</w:t>
      </w:r>
    </w:p>
    <w:p>
      <w:pPr>
        <w:pStyle w:val="Heading3"/>
      </w:pPr>
      <w:r>
        <w:t xml:space="preserve">Solução para o Risco 3 — Duplicidade e trava técnica</w:t>
      </w:r>
    </w:p>
    <w:p>
      <w:r>
        <w:t xml:space="preserve">A deduplicação é implementada como etapa de código versionada e testada (não como instrução textual seguida manualmente), com um teste automatizado que bloqueia o treino caso a contagem de linhas não bata com o esperado.</w:t>
      </w:r>
    </w:p>
    <w:p>
      <w:pPr>
        <w:pStyle w:val="Heading3"/>
      </w:pPr>
      <w:r>
        <w:t xml:space="preserve">Solução para o Risco 4 — Regressividade vertical</w:t>
      </w:r>
    </w:p>
    <w:p>
      <w:r>
        <w:t xml:space="preserve">PRD e PRB são critérios formais de aprovação do modelo final (com meta 0,98–1,03 e -0,05/+0,05, respectivamente), e não apenas métricas de acompanhamento. Caso o modelo novo continue fora da meta, as alternativas técnicas a testar são: (a) ponderação por faixa de valor no treino; (b) modelagem do erro percentual em vez do valor em log; (c) segmentação do modelo por faixa de valor, caso a distorção esteja concentrada em uma ponta específica.</w:t>
      </w:r>
    </w:p>
    <w:p>
      <w:pPr>
        <w:pStyle w:val="Heading3"/>
      </w:pPr>
      <w:r>
        <w:t xml:space="preserve">Solução para o Risco 5 — Vazamento espacial no split</w:t>
      </w:r>
    </w:p>
    <w:p>
      <w:r>
        <w:t xml:space="preserve">Adoção de um esquema de validação cruzada espacial (block cross-validation) como validação complementar ao split aleatório atual, reportando as duas métricas lado a lado no relatório de validação normativa — o que dá uma visão mais realista do desempenho do modelo em regiões não vistas.</w:t>
      </w:r>
    </w:p>
    <w:p>
      <w:pPr>
        <w:pStyle w:val="Heading3"/>
      </w:pPr>
      <w:r>
        <w:t xml:space="preserve">Solução para o Risco 6 — Vazamento no proxy KNN</w:t>
      </w:r>
    </w:p>
    <w:p>
      <w:r>
        <w:t xml:space="preserve">Formalização, no pipeline, da regra “vizinhos do KNN sempre vêm exclusivamente do conjunto de treino”, incluída como item de checklist na etapa de treino (Etapa 4), com teste automatizado equivalente ao proposto na análise.</w:t>
      </w:r>
    </w:p>
    <w:p>
      <w:pPr>
        <w:pStyle w:val="Heading3"/>
      </w:pPr>
      <w:r>
        <w:t xml:space="preserve">Solução para o Risco 7 — Coeficiente de segurança</w:t>
      </w:r>
    </w:p>
    <w:p>
      <w:r>
        <w:t xml:space="preserve">A decisão de coeficiente fixo é substituída por uma decisão baseada na curva de custo-benefício da análise realizada, escolhendo o ponto que equilibra explicitamente o risco de autuação indevida contra o risco de deixar passar subdeclaração real — com essa escolha registrada e justificada no processo de aprovação.</w:t>
      </w:r>
    </w:p>
    <w:p>
      <w:pPr>
        <w:pStyle w:val="Heading3"/>
      </w:pPr>
      <w:r>
        <w:t xml:space="preserve">Solução para o Risco 8 — Ausência de “andar” não aleatória</w:t>
      </w:r>
    </w:p>
    <w:p>
      <w:r>
        <w:t xml:space="preserve">A estratégia de “valor + flag de ausência” é mantida condicionada à confirmação, pela análise de distribuição, de que a ausência não está simplesmente replicando o efeito de localização/idade já capturado por outras variáveis. Caso a análise confirme essa sobreposição, a variável “andar” é removida da lista final ou usada apenas como variável auxiliar de baixa importância, sem risco de reintroduzir viés geográfico por via indireta.</w:t>
      </w:r>
    </w:p>
    <w:p>
      <w:pPr>
        <w:pStyle w:val="Heading3"/>
      </w:pPr>
      <w:r>
        <w:t xml:space="preserve">Solução para o Risco 9 — Tempo não tratado</w:t>
      </w:r>
    </w:p>
    <w:p>
      <w:r>
        <w:t xml:space="preserve">Acrescentado em 02/07/2026.</w:t>
      </w:r>
    </w:p>
    <w:p>
      <w:r>
        <w:t xml:space="preserve">A forma de homogeneização temporal é definida junto à equipe, entre três opções técnicas já conhecidas e praticadas no pipeline antigo: (a) deflação dos valores por índice de preços (IPCA, série 433 do BCB) até a data de referência; (b) variável de tendência temporal no modelo; (c) combinação das duas. A escolha adotada é registrada formalmente.</w:t>
      </w:r>
    </w:p>
    <w:p>
      <w:pPr>
        <w:pStyle w:val="Heading3"/>
      </w:pPr>
      <w:r>
        <w:t xml:space="preserve">Solução para o Risco 10 — Tipo de modelo e norma</w:t>
      </w:r>
    </w:p>
    <w:p>
      <w:r>
        <w:t xml:space="preserve">Acrescentado em 02/07/2026.</w:t>
      </w:r>
    </w:p>
    <w:p>
      <w:r>
        <w:t xml:space="preserve">Os dois modelos são mantidos em paralelo (hedônico como âncora normativa; LightGBM como refinamento), com a estratégia de fundamentação de cada um registrada por escrito antes do treino, e a divergência entre os dois usada como alerta automático de avaliação individual.</w:t>
      </w:r>
    </w:p>
    <w:p>
      <w:pPr>
        <w:pStyle w:val="Heading2"/>
      </w:pPr>
      <w:r>
        <w:t xml:space="preserve">4. Adendo — Análises Executadas em 02/07/2026</w:t>
      </w:r>
    </w:p>
    <w:p>
      <w:r>
        <w:t xml:space="preserve">As ferramentas abaixo foram criadas e executadas; nenhum dado foi alterado.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 que faz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Resultado da primeira execução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verificacoes_pre_treino.py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Travas técnicas que impedem o treino em caso de duplicata, sobreposição treino/teste ou deduplicação não aplicada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Bloqueio técnico ativo (proposital): identificados 6 IDs repetidos no treino; 6 transações presentes ao mesmo tempo no treino e na validação/teste (vazamento real, associado aos 12 SQTRANSMISSAO duplicados); 6.129 linhas de venda repetida no treino, tratadas pela regra de deduplicação da Seção 3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gerar_manifesto_treino.py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Congela a “impressão digital” (SHA-256) da base, das amostras e dos scripts em manifesto_treino.json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Manifesto gerado — qualquer alteração futura em dados ou código é detectável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comparar_split_espacial.py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 divisão aleatória a por bloco de prédio (mesmo modelo diagnóstico das Etapas 5/7)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risco de vazamento espacial (Risco 5) não se confirmou: erro mediano praticamente igual (18,4% aleatório × 18,2% por prédio); nenhum sinal de inflação por “gêmeos de prédio”. O sorteio aleatório da Etapa 1 se mostrou tecnicamente defensável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metricas_iaao_por_decil.py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COD/PRD/PRB por decil de valor, pronto para o modelo novo pós-treino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Demonstração com o valor venal atual: vendas simbólicas (R$ 0,01) concentram-se no 1º decil e distorcem as métricas de média; razão mediana de 0,85–0,91 nos decis 2–4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medir_evolucao_temporal.py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Mede a evolução da mediana de R$/m² por ano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+51% de 2021 a 2026 (R$ 3.687 → R$ 5.570) — dimensiona o Risco 9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Auditoria do KNN (Etapa 7)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Leitura do código do proxy de vizinhança</w:t>
            </w:r>
          </w:p>
        </w:tc>
        <w:tc>
          <w:tcPr>
            <w:tcW w:type="dxa" w:w="4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cálculo diagnóstico exclui o próprio imóvel, mas usa vizinhos da base inteira — aceitável para a correlação medida na Etapa 7; a regra “vizinhos só do treino” é requisito de código da Etapa 4 (Solução do Risco 6)</w:t>
            </w:r>
          </w:p>
        </w:tc>
      </w:tr>
    </w:tbl>
    <w:p>
      <w:pPr>
        <w:spacing w:before="240"/>
      </w:pPr>
      <w:r>
        <w:t xml:space="preserve">Este parecer registra a análise técnica da Coordenadoria de Inteligência Fiscal e as soluções adotadas para subsidiar a Etapa 4 (Treino do modelo).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434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A2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2026-07-08T19:49:03.401Z</dcterms:created>
  <dcterms:modified xsi:type="dcterms:W3CDTF">2026-07-08T19:49:03.407Z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