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D1358" w14:textId="77777777" w:rsidR="00901B2C" w:rsidRDefault="00056191">
      <w:pPr>
        <w:pStyle w:val="Titre1"/>
      </w:pPr>
      <w:bookmarkStart w:id="0" w:name="header"/>
      <w:bookmarkStart w:id="1" w:name="X8349a5310cdd1a21dca48481b5eea46689548c1"/>
      <w:bookmarkStart w:id="2" w:name="content"/>
      <w:bookmarkEnd w:id="0"/>
      <w:r>
        <w:t>Cadrage AMOA pour une plateforme privée de qualification, matching et deal execution entre PME et investisseurs en Afrique de l’Ouest et Afrique Centrale</w:t>
      </w:r>
    </w:p>
    <w:p w14:paraId="739BFEAB" w14:textId="77777777" w:rsidR="00901B2C" w:rsidRDefault="00056191">
      <w:pPr>
        <w:pStyle w:val="Titre2"/>
      </w:pPr>
      <w:bookmarkStart w:id="3" w:name="Xc2f3bf94a0928c2966f924f753ef94bffc6523d"/>
      <w:r>
        <w:t>Contexte de marché et contraintes régionales</w:t>
      </w:r>
    </w:p>
    <w:p w14:paraId="4285CEF2" w14:textId="77777777" w:rsidR="00901B2C" w:rsidRDefault="00056191">
      <w:pPr>
        <w:pStyle w:val="FirstParagraph"/>
      </w:pPr>
      <w:r>
        <w:t>Votre plateforme s’inscrit dans un espace juridique et fi</w:t>
      </w:r>
      <w:r>
        <w:t>nancier qui n’est pas homogène, mais qui est tout de même fortement structuré. L’OHADA regroupe aujourd’hui dix-sept États membres et son Acte uniforme relatif au droit comptable et à l’information financière annexe le SYSCOHADA révisé, composé du plan com</w:t>
      </w:r>
      <w:r>
        <w:t>ptable général OHADA et du dispositif des comptes consolidés et combinés. En parallèle, l’AMF-UMOA encadre le marché financier régional de l’UEMOA, créée autour de huit États avec siège à Abidjan, tandis que la COSUMAF encadre le marché financier de l’Afri</w:t>
      </w:r>
      <w:r>
        <w:t xml:space="preserve">que centrale dans l’espace CEMAC. Cela veut dire qu’une plateforme transfrontalière sérieuse doit être pensée à la fois comme un outil commercial, un outil de conformité et un outil de normalisation documentaire. </w:t>
      </w:r>
      <w:hyperlink r:id="rId5">
        <w:r>
          <w:rPr>
            <w:rStyle w:val="Lienhypertexte"/>
          </w:rPr>
          <w:t>[1]</w:t>
        </w:r>
      </w:hyperlink>
    </w:p>
    <w:p w14:paraId="2260F840" w14:textId="77777777" w:rsidR="00901B2C" w:rsidRDefault="00056191">
      <w:pPr>
        <w:pStyle w:val="Corpsdetexte"/>
      </w:pPr>
      <w:r>
        <w:t xml:space="preserve">Sur le plan réglementaire, il faut distinguer très tôt ce qui relève d’une </w:t>
      </w:r>
      <w:r>
        <w:rPr>
          <w:b/>
          <w:bCs/>
        </w:rPr>
        <w:t>plateforme privée d’introduction qualifiée</w:t>
      </w:r>
      <w:r>
        <w:t xml:space="preserve"> de ce qui pourrait être interprété comme une activité de placement public. En UMOA, aucune o</w:t>
      </w:r>
      <w:r>
        <w:t>ffre publique ne peut être ouverte sans diffusion préalable d’une note d’information visée, et toute offre publique ou émission publique de titres placée auprès du public sans visa préalable est réputée irrégulière. Côté CEMAC, la logique est également for</w:t>
      </w:r>
      <w:r>
        <w:t>tement encadrée : la COSUMAF publie les visas et agréments, et ses textes récents distinguent clairement les opérations publiques des placements privés, en précisant que, pour un placement privé, le niveau d’information et de protection accordé à l’investi</w:t>
      </w:r>
      <w:r>
        <w:t xml:space="preserve">sseur est moindre et que celui-ci doit procéder à sa propre évaluation. Cette combinaison réglementaire plaide clairement pour une </w:t>
      </w:r>
      <w:r>
        <w:rPr>
          <w:b/>
          <w:bCs/>
        </w:rPr>
        <w:t>plateforme privée, curatée, B2B, avec investisseurs qualifiés et accès gradués</w:t>
      </w:r>
      <w:r>
        <w:t>, et non pour une marketplace ouverte au public</w:t>
      </w:r>
      <w:r>
        <w:t xml:space="preserve">. </w:t>
      </w:r>
      <w:hyperlink r:id="rId6">
        <w:r>
          <w:rPr>
            <w:rStyle w:val="Lienhypertexte"/>
          </w:rPr>
          <w:t>[2]</w:t>
        </w:r>
      </w:hyperlink>
    </w:p>
    <w:p w14:paraId="7D207D06" w14:textId="77777777" w:rsidR="00901B2C" w:rsidRDefault="00056191">
      <w:pPr>
        <w:pStyle w:val="Corpsdetexte"/>
      </w:pPr>
      <w:r>
        <w:t>Le besoin économique est réel. D’après l’IFC, les MSME représentent plus de 90 % des entreprises dans le monde, autour de 70 % de l’emploi to</w:t>
      </w:r>
      <w:r>
        <w:t>tal et 50 % du PIB en moyenne ; le déficit de financement des MSME atteint 5,7 billions de dollars, et 8 billions lorsqu’on inclut l’informel. La Banque mondiale rappelle en outre que l’accès au financement reste l’un des obstacles majeurs pour les entrepr</w:t>
      </w:r>
      <w:r>
        <w:t>ises, et souligne spécifiquement qu’en Afrique de l’Ouest les PME sont perçues comme risquées par les prêteurs en raison de leur petite taille, de leur expérience limitée et de performances souvent peu documentées. Pour votre cas d’usage, cela justifie ple</w:t>
      </w:r>
      <w:r>
        <w:t xml:space="preserve">inement un </w:t>
      </w:r>
      <w:r>
        <w:rPr>
          <w:b/>
          <w:bCs/>
        </w:rPr>
        <w:t>diagnostic de readiness</w:t>
      </w:r>
      <w:r>
        <w:t xml:space="preserve">, une </w:t>
      </w:r>
      <w:r>
        <w:rPr>
          <w:b/>
          <w:bCs/>
        </w:rPr>
        <w:t>préparation documentaire</w:t>
      </w:r>
      <w:r>
        <w:t xml:space="preserve"> et un </w:t>
      </w:r>
      <w:r>
        <w:rPr>
          <w:b/>
          <w:bCs/>
        </w:rPr>
        <w:t>filtrage métier</w:t>
      </w:r>
      <w:r>
        <w:t xml:space="preserve"> avant toute mise en relation. </w:t>
      </w:r>
      <w:hyperlink r:id="rId7">
        <w:r>
          <w:rPr>
            <w:rStyle w:val="Lienhypertexte"/>
          </w:rPr>
          <w:t>[3]</w:t>
        </w:r>
      </w:hyperlink>
    </w:p>
    <w:p w14:paraId="62693DD9" w14:textId="77777777" w:rsidR="00901B2C" w:rsidRDefault="00056191">
      <w:pPr>
        <w:pStyle w:val="Corpsdetexte"/>
      </w:pPr>
      <w:r>
        <w:t xml:space="preserve">Le contexte d’investissement renforce cette lecture. AVCA décrit en 2025 un marché africain du private capital en phase de recalibrage mais résilient, avec un fundraising mondial plus sélectif et une pression sur les distributions ; en Afrique </w:t>
      </w:r>
      <w:r>
        <w:t xml:space="preserve">de l’Ouest, AVCA relève 73 deals pour environ 0,3 Md$ en 2025, en baisse modérée, avec une persistance des flux VC dans la fintech et la </w:t>
      </w:r>
      <w:r>
        <w:lastRenderedPageBreak/>
        <w:t>logistique mais un assouplissement relatif du private equity. Autrement dit, le problème n’est pas seulement “trouver d</w:t>
      </w:r>
      <w:r>
        <w:t xml:space="preserve">es investisseurs” ; c’est surtout </w:t>
      </w:r>
      <w:r>
        <w:rPr>
          <w:b/>
          <w:bCs/>
        </w:rPr>
        <w:t>présenter peu de dossiers, mais de meilleurs dossiers, plus vite, avec une meilleure lisibilité et un meilleur fit</w:t>
      </w:r>
      <w:r>
        <w:t xml:space="preserve">. </w:t>
      </w:r>
      <w:hyperlink r:id="rId8">
        <w:r>
          <w:rPr>
            <w:rStyle w:val="Lienhypertexte"/>
          </w:rPr>
          <w:t>[4]</w:t>
        </w:r>
      </w:hyperlink>
    </w:p>
    <w:p w14:paraId="7A76929B" w14:textId="77777777" w:rsidR="00901B2C" w:rsidRDefault="00056191">
      <w:pPr>
        <w:pStyle w:val="Corpsdetexte"/>
      </w:pPr>
      <w:r>
        <w:t xml:space="preserve">Enfin, le choix d’une plateforme </w:t>
      </w:r>
      <w:r>
        <w:rPr>
          <w:b/>
          <w:bCs/>
        </w:rPr>
        <w:t>mobile-first</w:t>
      </w:r>
      <w:r>
        <w:t xml:space="preserve"> n’est pas un luxe. Dans l’UEMOA, le taux de bancarisation strict a reculé à 25,2 % en 2024 et le taux de bancarisation élargi s’est établi à 47,4 %, tandis que </w:t>
      </w:r>
      <w:r>
        <w:t>la BCEAO a fait adopter en 2025 une nouvelle stratégie régionale d’inclusion financière pour 2025-2030. En CEMAC, la BEAC signale la croissance continue des services de paiement, portée notamment par les fintechs, la diversification des offres et l’amélior</w:t>
      </w:r>
      <w:r>
        <w:t xml:space="preserve">ation opérationnelle des services. À l’échelle globale, la GSMA indique qu’en 2024 le mobile money a dépassé 2 milliards de comptes enregistrés et plus d’un demi-milliard d’utilisateurs actifs mensuels. Une plateforme de sourcing et de deal execution dans </w:t>
      </w:r>
      <w:r>
        <w:t xml:space="preserve">vos zones doit donc accepter le réel : usage mobile, collecte progressive, documents hétérogènes, et interaction asynchrone. </w:t>
      </w:r>
      <w:hyperlink r:id="rId9">
        <w:r>
          <w:rPr>
            <w:rStyle w:val="Lienhypertexte"/>
          </w:rPr>
          <w:t>[5]</w:t>
        </w:r>
      </w:hyperlink>
    </w:p>
    <w:p w14:paraId="31E35047" w14:textId="77777777" w:rsidR="00901B2C" w:rsidRDefault="00056191">
      <w:pPr>
        <w:pStyle w:val="Titre2"/>
      </w:pPr>
      <w:bookmarkStart w:id="4" w:name="X4a6930488cbed3cacb66970e2bf9273f8e464cd"/>
      <w:bookmarkEnd w:id="3"/>
      <w:r>
        <w:t>Vision produit et positionnement stratégique</w:t>
      </w:r>
    </w:p>
    <w:p w14:paraId="788B72F4" w14:textId="77777777" w:rsidR="00901B2C" w:rsidRDefault="00056191">
      <w:pPr>
        <w:pStyle w:val="FirstParagraph"/>
      </w:pPr>
      <w:r>
        <w:t xml:space="preserve">La bonne formulation produit n’est pas “une marketplace de financement”, mais </w:t>
      </w:r>
      <w:r>
        <w:rPr>
          <w:b/>
          <w:bCs/>
        </w:rPr>
        <w:t>une infrastructure privée de préparation, qualification et exécution de deals</w:t>
      </w:r>
      <w:r>
        <w:t>, opérée par un cabinet de co</w:t>
      </w:r>
      <w:r>
        <w:t xml:space="preserve">nseil financier. Côté entrepreneurs, elle sert à capter la demande, mesurer la maturité, structurer le dossier et transformer des entreprises “potentiellement finançables” en opportunités réellement présentables. Côté investisseurs, elle sert à fournir un </w:t>
      </w:r>
      <w:r>
        <w:t xml:space="preserve">dealflow filtré, aligné sur leur thèse, documenté, puis exécutable jusqu’à la data room et au closing. Cette approche est cohérente à la fois avec la sélectivité actuelle du private capital africain et avec l’encadrement réglementaire des offres publiques </w:t>
      </w:r>
      <w:r>
        <w:t xml:space="preserve">dans l’UEMOA et la CEMAC. </w:t>
      </w:r>
      <w:hyperlink r:id="rId10">
        <w:r>
          <w:rPr>
            <w:rStyle w:val="Lienhypertexte"/>
          </w:rPr>
          <w:t>[6]</w:t>
        </w:r>
      </w:hyperlink>
    </w:p>
    <w:p w14:paraId="18C5FF91" w14:textId="77777777" w:rsidR="00901B2C" w:rsidRDefault="00056191">
      <w:pPr>
        <w:pStyle w:val="Corpsdetexte"/>
      </w:pPr>
      <w:r>
        <w:t xml:space="preserve">La plateforme doit donc être utilisée comme </w:t>
      </w:r>
      <w:r>
        <w:rPr>
          <w:b/>
          <w:bCs/>
        </w:rPr>
        <w:t>produit d’appel</w:t>
      </w:r>
      <w:r>
        <w:t xml:space="preserve"> parce qu’elle </w:t>
      </w:r>
      <w:r>
        <w:t>résout un premier problème simple et très visible : “Suis-je réellement finançable, par quel type de financeur, et qu’est-ce qui manque à mon dossier ?” Ce point d’entrée crée de la valeur avant la transaction, génère de la donnée propriétaire pour le cabi</w:t>
      </w:r>
      <w:r>
        <w:t xml:space="preserve">net, et ouvre ensuite vers des services plus rémunérateurs : diagnostic expert, readiness, modèle financier, teaser, data room, mandat de levée ou de sourcing, due diligence, et success fee. Cette logique est particulièrement robuste dans un marché où les </w:t>
      </w:r>
      <w:r>
        <w:t xml:space="preserve">institutions de développement et les banques cherchent déjà à rapprocher offre et demande de financement des PME, comme le montrent les programmes de l’AfDB et de l’IFC sur le financement MSME via intermédiaires financiers. </w:t>
      </w:r>
      <w:hyperlink r:id="rId11">
        <w:r>
          <w:rPr>
            <w:rStyle w:val="Lienhypertexte"/>
          </w:rPr>
          <w:t>[7]</w:t>
        </w:r>
      </w:hyperlink>
    </w:p>
    <w:p w14:paraId="7EEA1A24" w14:textId="77777777" w:rsidR="00901B2C" w:rsidRDefault="00056191">
      <w:pPr>
        <w:pStyle w:val="Corpsdetexte"/>
      </w:pPr>
      <w:r>
        <w:t xml:space="preserve">Le freemium doit rester </w:t>
      </w:r>
      <w:r>
        <w:rPr>
          <w:b/>
          <w:bCs/>
        </w:rPr>
        <w:t>qualifiant</w:t>
      </w:r>
      <w:r>
        <w:t>, pas généreux. Son rôle est d’attirer des entrepreneurs, de leur faire compléter un questionnaire ut</w:t>
      </w:r>
      <w:r>
        <w:t>ile, de leur rendre un score simple et une première orientation, puis de déclencher une conversion commerciale vers un diagnostic approfondi ou un pack de préparation. Si vous donnez trop peu, le produit d’appel n’attire pas. Si vous donnez trop, vous alim</w:t>
      </w:r>
      <w:r>
        <w:t xml:space="preserve">entez une base de dossiers peu matures, coûteuse à traiter, et vous vous privez de revenus amont. Dans votre cas, la meilleure ligne de crête consiste à rendre gratuite la </w:t>
      </w:r>
      <w:r>
        <w:rPr>
          <w:b/>
          <w:bCs/>
        </w:rPr>
        <w:t>prise de conscience</w:t>
      </w:r>
      <w:r>
        <w:t xml:space="preserve"> et payante la </w:t>
      </w:r>
      <w:r>
        <w:rPr>
          <w:b/>
          <w:bCs/>
        </w:rPr>
        <w:t>transformation du dossier</w:t>
      </w:r>
      <w:r>
        <w:t>. Cette logique répond bi</w:t>
      </w:r>
      <w:r>
        <w:t xml:space="preserve">en au constat de la Banque mondiale selon lequel, en Afrique de l’Ouest, la faible documentation de la performance des PME pénalise directement leur accès au financement. </w:t>
      </w:r>
      <w:hyperlink r:id="rId12">
        <w:r>
          <w:rPr>
            <w:rStyle w:val="Lienhypertexte"/>
          </w:rPr>
          <w:t>[8]</w:t>
        </w:r>
      </w:hyperlink>
    </w:p>
    <w:p w14:paraId="75F9C751" w14:textId="77777777" w:rsidR="00901B2C" w:rsidRDefault="00056191">
      <w:pPr>
        <w:pStyle w:val="Corpsdetexte"/>
      </w:pPr>
      <w:r>
        <w:lastRenderedPageBreak/>
        <w:t xml:space="preserve">Vis-à-vis des PE, VC, impact funds, banques et family offices, le produit ne doit jamais être présenté comme une “place de marché ouverte”. Il doit être vendu comme un </w:t>
      </w:r>
      <w:r>
        <w:rPr>
          <w:b/>
          <w:bCs/>
        </w:rPr>
        <w:t>canal de dea</w:t>
      </w:r>
      <w:r>
        <w:rPr>
          <w:b/>
          <w:bCs/>
        </w:rPr>
        <w:t>lflow premium</w:t>
      </w:r>
      <w:r>
        <w:t xml:space="preserve"> : peu d’opportunités, mais mieux structurées ; une information homogène ; une qualification préalable ; la possibilité de filtrer par pays, secteur, ticket, instrument, stade et exclusions ; puis un passage propre vers la documentation, la Q&amp;</w:t>
      </w:r>
      <w:r>
        <w:t>A et la diligence. C’est précisément la logique mise en avant par les solutions de marché comme Intapp DealCloud, Affinity, Dynamo et Datasite : relation intelligence, deal flow, workflows, diligence et VDR ne sont pas séparés conceptuellement ; ils formen</w:t>
      </w:r>
      <w:r>
        <w:t xml:space="preserve">t une chaîne continue de deal execution. </w:t>
      </w:r>
      <w:hyperlink r:id="rId13">
        <w:r>
          <w:rPr>
            <w:rStyle w:val="Lienhypertexte"/>
          </w:rPr>
          <w:t>[9]</w:t>
        </w:r>
      </w:hyperlink>
    </w:p>
    <w:p w14:paraId="0A607287" w14:textId="77777777" w:rsidR="00901B2C" w:rsidRDefault="00056191">
      <w:pPr>
        <w:pStyle w:val="Corpsdetexte"/>
      </w:pPr>
      <w:r>
        <w:t>En une phrase, la promesse de valeur la plus juste serait la suivante :</w:t>
      </w:r>
    </w:p>
    <w:p w14:paraId="31166183" w14:textId="77777777" w:rsidR="00901B2C" w:rsidRDefault="00056191">
      <w:pPr>
        <w:pStyle w:val="Normalcentr"/>
      </w:pPr>
      <w:r>
        <w:rPr>
          <w:b/>
          <w:bCs/>
        </w:rPr>
        <w:t>Une plateforme privée qui rend les entreprises finançables avan</w:t>
      </w:r>
      <w:r>
        <w:rPr>
          <w:b/>
          <w:bCs/>
        </w:rPr>
        <w:t>t de les exposer aux investisseurs, et qui donne aux investisseurs un dealflow filtré, documenté et pilotable jusqu’au closing.</w:t>
      </w:r>
    </w:p>
    <w:p w14:paraId="42A7A878" w14:textId="77777777" w:rsidR="00901B2C" w:rsidRDefault="00056191">
      <w:pPr>
        <w:pStyle w:val="Titre2"/>
      </w:pPr>
      <w:bookmarkStart w:id="5" w:name="X9d315e1fec1d5ad3bc2fce388b5345bdecd1355"/>
      <w:bookmarkEnd w:id="4"/>
      <w:r>
        <w:t>Parcours entrepreneur et logique de monétisation</w:t>
      </w:r>
    </w:p>
    <w:p w14:paraId="34F6E12E" w14:textId="77777777" w:rsidR="00901B2C" w:rsidRDefault="00056191">
      <w:pPr>
        <w:pStyle w:val="FirstParagraph"/>
      </w:pPr>
      <w:r>
        <w:t>La conception du parcours entrepreneur doit partir d’un constat simple : dans v</w:t>
      </w:r>
      <w:r>
        <w:t xml:space="preserve">otre zone, les entreprises ont souvent un besoin de financement plus clair que leur dossier. La plateforme doit donc capter à la fois le </w:t>
      </w:r>
      <w:r>
        <w:rPr>
          <w:b/>
          <w:bCs/>
        </w:rPr>
        <w:t>besoin</w:t>
      </w:r>
      <w:r>
        <w:t xml:space="preserve"> et le </w:t>
      </w:r>
      <w:r>
        <w:rPr>
          <w:b/>
          <w:bCs/>
        </w:rPr>
        <w:t>niveau de préparation</w:t>
      </w:r>
      <w:r>
        <w:t>. Le tableau ci-dessous constitue une proposition AMOA directement exploitable dans une note de cadrage ou un cahier des charges.</w:t>
      </w:r>
    </w:p>
    <w:tbl>
      <w:tblPr>
        <w:tblStyle w:val="Table"/>
        <w:tblW w:w="0" w:type="auto"/>
        <w:tblLook w:val="0020" w:firstRow="1" w:lastRow="0" w:firstColumn="0" w:lastColumn="0" w:noHBand="0" w:noVBand="0"/>
      </w:tblPr>
      <w:tblGrid>
        <w:gridCol w:w="1751"/>
        <w:gridCol w:w="1306"/>
        <w:gridCol w:w="1543"/>
        <w:gridCol w:w="1708"/>
        <w:gridCol w:w="1949"/>
        <w:gridCol w:w="1365"/>
      </w:tblGrid>
      <w:tr w:rsidR="00901B2C" w14:paraId="0EB6360A" w14:textId="77777777" w:rsidTr="00901B2C">
        <w:trPr>
          <w:cnfStyle w:val="100000000000" w:firstRow="1" w:lastRow="0" w:firstColumn="0" w:lastColumn="0" w:oddVBand="0" w:evenVBand="0" w:oddHBand="0" w:evenHBand="0" w:firstRowFirstColumn="0" w:firstRowLastColumn="0" w:lastRowFirstColumn="0" w:lastRowLastColumn="0"/>
          <w:tblHeader/>
        </w:trPr>
        <w:tc>
          <w:tcPr>
            <w:tcW w:w="0" w:type="auto"/>
          </w:tcPr>
          <w:p w14:paraId="7E297687" w14:textId="77777777" w:rsidR="00901B2C" w:rsidRDefault="00056191">
            <w:pPr>
              <w:pStyle w:val="Compact"/>
            </w:pPr>
            <w:r>
              <w:t>Étape du parcours</w:t>
            </w:r>
          </w:p>
        </w:tc>
        <w:tc>
          <w:tcPr>
            <w:tcW w:w="0" w:type="auto"/>
          </w:tcPr>
          <w:p w14:paraId="17B50A90" w14:textId="77777777" w:rsidR="00901B2C" w:rsidRDefault="00056191">
            <w:pPr>
              <w:pStyle w:val="Compact"/>
            </w:pPr>
            <w:r>
              <w:t>Objectif métier</w:t>
            </w:r>
          </w:p>
        </w:tc>
        <w:tc>
          <w:tcPr>
            <w:tcW w:w="0" w:type="auto"/>
          </w:tcPr>
          <w:p w14:paraId="1762F0FC" w14:textId="77777777" w:rsidR="00901B2C" w:rsidRDefault="00056191">
            <w:pPr>
              <w:pStyle w:val="Compact"/>
            </w:pPr>
            <w:r>
              <w:t>Données collectées</w:t>
            </w:r>
          </w:p>
        </w:tc>
        <w:tc>
          <w:tcPr>
            <w:tcW w:w="0" w:type="auto"/>
          </w:tcPr>
          <w:p w14:paraId="49C3AFA4" w14:textId="77777777" w:rsidR="00901B2C" w:rsidRDefault="00056191">
            <w:pPr>
              <w:pStyle w:val="Compact"/>
            </w:pPr>
            <w:r>
              <w:t>Fonctionnalités clés</w:t>
            </w:r>
          </w:p>
        </w:tc>
        <w:tc>
          <w:tcPr>
            <w:tcW w:w="0" w:type="auto"/>
          </w:tcPr>
          <w:p w14:paraId="7335F3FA" w14:textId="77777777" w:rsidR="00901B2C" w:rsidRDefault="00056191">
            <w:pPr>
              <w:pStyle w:val="Compact"/>
            </w:pPr>
            <w:r>
              <w:t>Livrables</w:t>
            </w:r>
          </w:p>
        </w:tc>
        <w:tc>
          <w:tcPr>
            <w:tcW w:w="0" w:type="auto"/>
          </w:tcPr>
          <w:p w14:paraId="77DDB002" w14:textId="77777777" w:rsidR="00901B2C" w:rsidRDefault="00056191">
            <w:pPr>
              <w:pStyle w:val="Compact"/>
            </w:pPr>
            <w:r>
              <w:t>Opportunité de monétisation</w:t>
            </w:r>
          </w:p>
        </w:tc>
      </w:tr>
      <w:tr w:rsidR="00901B2C" w14:paraId="6F67C8C4" w14:textId="77777777">
        <w:tc>
          <w:tcPr>
            <w:tcW w:w="0" w:type="auto"/>
          </w:tcPr>
          <w:p w14:paraId="7F43D41A" w14:textId="77777777" w:rsidR="00901B2C" w:rsidRDefault="00056191">
            <w:pPr>
              <w:pStyle w:val="Compact"/>
            </w:pPr>
            <w:r>
              <w:t>Inscription</w:t>
            </w:r>
          </w:p>
        </w:tc>
        <w:tc>
          <w:tcPr>
            <w:tcW w:w="0" w:type="auto"/>
          </w:tcPr>
          <w:p w14:paraId="682CEBAB" w14:textId="77777777" w:rsidR="00901B2C" w:rsidRDefault="00056191">
            <w:pPr>
              <w:pStyle w:val="Compact"/>
            </w:pPr>
            <w:r>
              <w:t>Identifier l’entreprise et le contact</w:t>
            </w:r>
          </w:p>
        </w:tc>
        <w:tc>
          <w:tcPr>
            <w:tcW w:w="0" w:type="auto"/>
          </w:tcPr>
          <w:p w14:paraId="1E59F3A3" w14:textId="77777777" w:rsidR="00901B2C" w:rsidRDefault="00056191">
            <w:pPr>
              <w:pStyle w:val="Compact"/>
            </w:pPr>
            <w:r>
              <w:t>Nom, pays, secteur, email, téléphone, rôle</w:t>
            </w:r>
          </w:p>
        </w:tc>
        <w:tc>
          <w:tcPr>
            <w:tcW w:w="0" w:type="auto"/>
          </w:tcPr>
          <w:p w14:paraId="7BE478FF" w14:textId="77777777" w:rsidR="00901B2C" w:rsidRDefault="00056191">
            <w:pPr>
              <w:pStyle w:val="Compact"/>
            </w:pPr>
            <w:r>
              <w:t>Création de compte, OTP/email validation, consentement</w:t>
            </w:r>
          </w:p>
        </w:tc>
        <w:tc>
          <w:tcPr>
            <w:tcW w:w="0" w:type="auto"/>
          </w:tcPr>
          <w:p w14:paraId="0702C51A" w14:textId="77777777" w:rsidR="00901B2C" w:rsidRDefault="00056191">
            <w:pPr>
              <w:pStyle w:val="Compact"/>
            </w:pPr>
            <w:r>
              <w:t>Compte entreprise</w:t>
            </w:r>
          </w:p>
        </w:tc>
        <w:tc>
          <w:tcPr>
            <w:tcW w:w="0" w:type="auto"/>
          </w:tcPr>
          <w:p w14:paraId="105030AB" w14:textId="77777777" w:rsidR="00901B2C" w:rsidRDefault="00056191">
            <w:pPr>
              <w:pStyle w:val="Compact"/>
            </w:pPr>
            <w:r>
              <w:t>Gratuit</w:t>
            </w:r>
          </w:p>
        </w:tc>
      </w:tr>
      <w:tr w:rsidR="00901B2C" w14:paraId="5A9025ED" w14:textId="77777777">
        <w:tc>
          <w:tcPr>
            <w:tcW w:w="0" w:type="auto"/>
          </w:tcPr>
          <w:p w14:paraId="7B8DED54" w14:textId="77777777" w:rsidR="00901B2C" w:rsidRDefault="00056191">
            <w:pPr>
              <w:pStyle w:val="Compact"/>
            </w:pPr>
            <w:r>
              <w:t>Préqualification</w:t>
            </w:r>
          </w:p>
        </w:tc>
        <w:tc>
          <w:tcPr>
            <w:tcW w:w="0" w:type="auto"/>
          </w:tcPr>
          <w:p w14:paraId="0ED69F89" w14:textId="77777777" w:rsidR="00901B2C" w:rsidRDefault="00056191">
            <w:pPr>
              <w:pStyle w:val="Compact"/>
            </w:pPr>
            <w:r>
              <w:t>Comprendre rapidement le cas</w:t>
            </w:r>
          </w:p>
        </w:tc>
        <w:tc>
          <w:tcPr>
            <w:tcW w:w="0" w:type="auto"/>
          </w:tcPr>
          <w:p w14:paraId="5AB31386" w14:textId="77777777" w:rsidR="00901B2C" w:rsidRDefault="00056191">
            <w:pPr>
              <w:pStyle w:val="Compact"/>
            </w:pPr>
            <w:r>
              <w:t>Chiffre d’affaires, rentabilité, be</w:t>
            </w:r>
            <w:r>
              <w:t>soin, usage des fonds, historique</w:t>
            </w:r>
          </w:p>
        </w:tc>
        <w:tc>
          <w:tcPr>
            <w:tcW w:w="0" w:type="auto"/>
          </w:tcPr>
          <w:p w14:paraId="2300E3D5" w14:textId="77777777" w:rsidR="00901B2C" w:rsidRDefault="00056191">
            <w:pPr>
              <w:pStyle w:val="Compact"/>
            </w:pPr>
            <w:r>
              <w:t>Questionnaire dynamique, logique conditionnelle</w:t>
            </w:r>
          </w:p>
        </w:tc>
        <w:tc>
          <w:tcPr>
            <w:tcW w:w="0" w:type="auto"/>
          </w:tcPr>
          <w:p w14:paraId="74312849" w14:textId="77777777" w:rsidR="00901B2C" w:rsidRDefault="00056191">
            <w:pPr>
              <w:pStyle w:val="Compact"/>
            </w:pPr>
            <w:r>
              <w:t>Profil initial</w:t>
            </w:r>
          </w:p>
        </w:tc>
        <w:tc>
          <w:tcPr>
            <w:tcW w:w="0" w:type="auto"/>
          </w:tcPr>
          <w:p w14:paraId="1CE3646B" w14:textId="77777777" w:rsidR="00901B2C" w:rsidRDefault="00056191">
            <w:pPr>
              <w:pStyle w:val="Compact"/>
            </w:pPr>
            <w:r>
              <w:t>Gratuit</w:t>
            </w:r>
          </w:p>
        </w:tc>
      </w:tr>
      <w:tr w:rsidR="00901B2C" w14:paraId="1F61A1E3" w14:textId="77777777">
        <w:tc>
          <w:tcPr>
            <w:tcW w:w="0" w:type="auto"/>
          </w:tcPr>
          <w:p w14:paraId="670BD2C2" w14:textId="77777777" w:rsidR="00901B2C" w:rsidRDefault="00056191">
            <w:pPr>
              <w:pStyle w:val="Compact"/>
            </w:pPr>
            <w:r>
              <w:t>Upload documentaire</w:t>
            </w:r>
          </w:p>
        </w:tc>
        <w:tc>
          <w:tcPr>
            <w:tcW w:w="0" w:type="auto"/>
          </w:tcPr>
          <w:p w14:paraId="4BA13843" w14:textId="77777777" w:rsidR="00901B2C" w:rsidRDefault="00056191">
            <w:pPr>
              <w:pStyle w:val="Compact"/>
            </w:pPr>
            <w:r>
              <w:t>Mesurer la maturité réelle</w:t>
            </w:r>
          </w:p>
        </w:tc>
        <w:tc>
          <w:tcPr>
            <w:tcW w:w="0" w:type="auto"/>
          </w:tcPr>
          <w:p w14:paraId="02F84FBD" w14:textId="77777777" w:rsidR="00901B2C" w:rsidRDefault="00056191">
            <w:pPr>
              <w:pStyle w:val="Compact"/>
            </w:pPr>
            <w:r>
              <w:t>RCCM, statuts, états financiers, pitch, BP</w:t>
            </w:r>
          </w:p>
        </w:tc>
        <w:tc>
          <w:tcPr>
            <w:tcW w:w="0" w:type="auto"/>
          </w:tcPr>
          <w:p w14:paraId="0B17C0A2" w14:textId="77777777" w:rsidR="00901B2C" w:rsidRDefault="00056191">
            <w:pPr>
              <w:pStyle w:val="Compact"/>
            </w:pPr>
            <w:r>
              <w:t>Upload sécurisé, checklist, statut documents</w:t>
            </w:r>
          </w:p>
        </w:tc>
        <w:tc>
          <w:tcPr>
            <w:tcW w:w="0" w:type="auto"/>
          </w:tcPr>
          <w:p w14:paraId="2945B875" w14:textId="77777777" w:rsidR="00901B2C" w:rsidRDefault="00056191">
            <w:pPr>
              <w:pStyle w:val="Compact"/>
            </w:pPr>
            <w:r>
              <w:t>Liste pièces re</w:t>
            </w:r>
            <w:r>
              <w:t>çues/manquantes</w:t>
            </w:r>
          </w:p>
        </w:tc>
        <w:tc>
          <w:tcPr>
            <w:tcW w:w="0" w:type="auto"/>
          </w:tcPr>
          <w:p w14:paraId="72C23469" w14:textId="77777777" w:rsidR="00901B2C" w:rsidRDefault="00056191">
            <w:pPr>
              <w:pStyle w:val="Compact"/>
            </w:pPr>
            <w:r>
              <w:t>Gratuit limité</w:t>
            </w:r>
          </w:p>
        </w:tc>
      </w:tr>
      <w:tr w:rsidR="00901B2C" w14:paraId="7B3984B5" w14:textId="77777777">
        <w:tc>
          <w:tcPr>
            <w:tcW w:w="0" w:type="auto"/>
          </w:tcPr>
          <w:p w14:paraId="7F8C3563" w14:textId="77777777" w:rsidR="00901B2C" w:rsidRDefault="00056191">
            <w:pPr>
              <w:pStyle w:val="Compact"/>
            </w:pPr>
            <w:r>
              <w:t xml:space="preserve">Readiness </w:t>
            </w:r>
            <w:r>
              <w:lastRenderedPageBreak/>
              <w:t>score</w:t>
            </w:r>
          </w:p>
        </w:tc>
        <w:tc>
          <w:tcPr>
            <w:tcW w:w="0" w:type="auto"/>
          </w:tcPr>
          <w:p w14:paraId="40E91272" w14:textId="77777777" w:rsidR="00901B2C" w:rsidRDefault="00056191">
            <w:pPr>
              <w:pStyle w:val="Compact"/>
            </w:pPr>
            <w:r>
              <w:lastRenderedPageBreak/>
              <w:t xml:space="preserve">Évaluer </w:t>
            </w:r>
            <w:r>
              <w:lastRenderedPageBreak/>
              <w:t>l’éligibilité</w:t>
            </w:r>
          </w:p>
        </w:tc>
        <w:tc>
          <w:tcPr>
            <w:tcW w:w="0" w:type="auto"/>
          </w:tcPr>
          <w:p w14:paraId="48758671" w14:textId="77777777" w:rsidR="00901B2C" w:rsidRDefault="00056191">
            <w:pPr>
              <w:pStyle w:val="Compact"/>
            </w:pPr>
            <w:r>
              <w:lastRenderedPageBreak/>
              <w:t xml:space="preserve">Données </w:t>
            </w:r>
            <w:r>
              <w:lastRenderedPageBreak/>
              <w:t>légales, financières, de gouvernance, documents</w:t>
            </w:r>
          </w:p>
        </w:tc>
        <w:tc>
          <w:tcPr>
            <w:tcW w:w="0" w:type="auto"/>
          </w:tcPr>
          <w:p w14:paraId="5FB36D86" w14:textId="77777777" w:rsidR="00901B2C" w:rsidRDefault="00056191">
            <w:pPr>
              <w:pStyle w:val="Compact"/>
            </w:pPr>
            <w:r>
              <w:lastRenderedPageBreak/>
              <w:t xml:space="preserve">Moteur de </w:t>
            </w:r>
            <w:r>
              <w:lastRenderedPageBreak/>
              <w:t>scoring, règles pondérées</w:t>
            </w:r>
          </w:p>
        </w:tc>
        <w:tc>
          <w:tcPr>
            <w:tcW w:w="0" w:type="auto"/>
          </w:tcPr>
          <w:p w14:paraId="017D8AAB" w14:textId="77777777" w:rsidR="00901B2C" w:rsidRDefault="00056191">
            <w:pPr>
              <w:pStyle w:val="Compact"/>
            </w:pPr>
            <w:r>
              <w:lastRenderedPageBreak/>
              <w:t xml:space="preserve">Score simplifié, </w:t>
            </w:r>
            <w:r>
              <w:lastRenderedPageBreak/>
              <w:t>catégorie</w:t>
            </w:r>
          </w:p>
        </w:tc>
        <w:tc>
          <w:tcPr>
            <w:tcW w:w="0" w:type="auto"/>
          </w:tcPr>
          <w:p w14:paraId="483D858E" w14:textId="77777777" w:rsidR="00901B2C" w:rsidRDefault="00056191">
            <w:pPr>
              <w:pStyle w:val="Compact"/>
            </w:pPr>
            <w:r>
              <w:lastRenderedPageBreak/>
              <w:t>Gratuit</w:t>
            </w:r>
          </w:p>
        </w:tc>
      </w:tr>
      <w:tr w:rsidR="00901B2C" w14:paraId="3E341F20" w14:textId="77777777">
        <w:tc>
          <w:tcPr>
            <w:tcW w:w="0" w:type="auto"/>
          </w:tcPr>
          <w:p w14:paraId="68A4FD2D" w14:textId="77777777" w:rsidR="00901B2C" w:rsidRDefault="00056191">
            <w:pPr>
              <w:pStyle w:val="Compact"/>
            </w:pPr>
            <w:r>
              <w:t>Rapport synthétique</w:t>
            </w:r>
          </w:p>
        </w:tc>
        <w:tc>
          <w:tcPr>
            <w:tcW w:w="0" w:type="auto"/>
          </w:tcPr>
          <w:p w14:paraId="1C919711" w14:textId="77777777" w:rsidR="00901B2C" w:rsidRDefault="00056191">
            <w:pPr>
              <w:pStyle w:val="Compact"/>
            </w:pPr>
            <w:r>
              <w:t>Donner un premier verdict utile</w:t>
            </w:r>
          </w:p>
        </w:tc>
        <w:tc>
          <w:tcPr>
            <w:tcW w:w="0" w:type="auto"/>
          </w:tcPr>
          <w:p w14:paraId="185D3A59" w14:textId="77777777" w:rsidR="00901B2C" w:rsidRDefault="00056191">
            <w:pPr>
              <w:pStyle w:val="Compact"/>
            </w:pPr>
            <w:r>
              <w:t>Résultats questionnaire + pièces</w:t>
            </w:r>
          </w:p>
        </w:tc>
        <w:tc>
          <w:tcPr>
            <w:tcW w:w="0" w:type="auto"/>
          </w:tcPr>
          <w:p w14:paraId="4B9433A2" w14:textId="77777777" w:rsidR="00901B2C" w:rsidRDefault="00056191">
            <w:pPr>
              <w:pStyle w:val="Compact"/>
            </w:pPr>
            <w:r>
              <w:t>Génération automatique PDF/web</w:t>
            </w:r>
          </w:p>
        </w:tc>
        <w:tc>
          <w:tcPr>
            <w:tcW w:w="0" w:type="auto"/>
          </w:tcPr>
          <w:p w14:paraId="0F8DBCC0" w14:textId="77777777" w:rsidR="00901B2C" w:rsidRDefault="00056191">
            <w:pPr>
              <w:pStyle w:val="Compact"/>
            </w:pPr>
            <w:r>
              <w:t>Mini diagnostic</w:t>
            </w:r>
          </w:p>
        </w:tc>
        <w:tc>
          <w:tcPr>
            <w:tcW w:w="0" w:type="auto"/>
          </w:tcPr>
          <w:p w14:paraId="4B8EBEA2" w14:textId="77777777" w:rsidR="00901B2C" w:rsidRDefault="00056191">
            <w:pPr>
              <w:pStyle w:val="Compact"/>
            </w:pPr>
            <w:r>
              <w:t>Gratuit ou inclus</w:t>
            </w:r>
          </w:p>
        </w:tc>
      </w:tr>
      <w:tr w:rsidR="00901B2C" w14:paraId="23C50FF9" w14:textId="77777777">
        <w:tc>
          <w:tcPr>
            <w:tcW w:w="0" w:type="auto"/>
          </w:tcPr>
          <w:p w14:paraId="709AD308" w14:textId="77777777" w:rsidR="00901B2C" w:rsidRDefault="00056191">
            <w:pPr>
              <w:pStyle w:val="Compact"/>
            </w:pPr>
            <w:r>
              <w:t>Recommandation de financement</w:t>
            </w:r>
          </w:p>
        </w:tc>
        <w:tc>
          <w:tcPr>
            <w:tcW w:w="0" w:type="auto"/>
          </w:tcPr>
          <w:p w14:paraId="7E9ED3E3" w14:textId="77777777" w:rsidR="00901B2C" w:rsidRDefault="00056191">
            <w:pPr>
              <w:pStyle w:val="Compact"/>
            </w:pPr>
            <w:r>
              <w:t>Orienter vers le bon instrument</w:t>
            </w:r>
          </w:p>
        </w:tc>
        <w:tc>
          <w:tcPr>
            <w:tcW w:w="0" w:type="auto"/>
          </w:tcPr>
          <w:p w14:paraId="2E33A094" w14:textId="77777777" w:rsidR="00901B2C" w:rsidRDefault="00056191">
            <w:pPr>
              <w:pStyle w:val="Compact"/>
            </w:pPr>
            <w:r>
              <w:t>Montant, horizon, garanties, profil de cash-flow</w:t>
            </w:r>
          </w:p>
        </w:tc>
        <w:tc>
          <w:tcPr>
            <w:tcW w:w="0" w:type="auto"/>
          </w:tcPr>
          <w:p w14:paraId="0DA42403" w14:textId="77777777" w:rsidR="00901B2C" w:rsidRDefault="00056191">
            <w:pPr>
              <w:pStyle w:val="Compact"/>
            </w:pPr>
            <w:r>
              <w:t>Moteur de reco</w:t>
            </w:r>
            <w:r>
              <w:t>mmandation</w:t>
            </w:r>
          </w:p>
        </w:tc>
        <w:tc>
          <w:tcPr>
            <w:tcW w:w="0" w:type="auto"/>
          </w:tcPr>
          <w:p w14:paraId="6D063D30" w14:textId="77777777" w:rsidR="00901B2C" w:rsidRDefault="00056191">
            <w:pPr>
              <w:pStyle w:val="Compact"/>
            </w:pPr>
            <w:r>
              <w:t>Orientation equity/dette/quasi-equity/subvention</w:t>
            </w:r>
          </w:p>
        </w:tc>
        <w:tc>
          <w:tcPr>
            <w:tcW w:w="0" w:type="auto"/>
          </w:tcPr>
          <w:p w14:paraId="236639D3" w14:textId="77777777" w:rsidR="00901B2C" w:rsidRDefault="00056191">
            <w:pPr>
              <w:pStyle w:val="Compact"/>
            </w:pPr>
            <w:r>
              <w:t>Freemium</w:t>
            </w:r>
          </w:p>
        </w:tc>
      </w:tr>
      <w:tr w:rsidR="00901B2C" w14:paraId="0906A70B" w14:textId="77777777">
        <w:tc>
          <w:tcPr>
            <w:tcW w:w="0" w:type="auto"/>
          </w:tcPr>
          <w:p w14:paraId="5A027F66" w14:textId="77777777" w:rsidR="00901B2C" w:rsidRDefault="00056191">
            <w:pPr>
              <w:pStyle w:val="Compact"/>
            </w:pPr>
            <w:r>
              <w:t>Proposition de services</w:t>
            </w:r>
          </w:p>
        </w:tc>
        <w:tc>
          <w:tcPr>
            <w:tcW w:w="0" w:type="auto"/>
          </w:tcPr>
          <w:p w14:paraId="2CDE51E2" w14:textId="77777777" w:rsidR="00901B2C" w:rsidRDefault="00056191">
            <w:pPr>
              <w:pStyle w:val="Compact"/>
            </w:pPr>
            <w:r>
              <w:t>Convertir vers le conseil payant</w:t>
            </w:r>
          </w:p>
        </w:tc>
        <w:tc>
          <w:tcPr>
            <w:tcW w:w="0" w:type="auto"/>
          </w:tcPr>
          <w:p w14:paraId="67F81F2B" w14:textId="77777777" w:rsidR="00901B2C" w:rsidRDefault="00056191">
            <w:pPr>
              <w:pStyle w:val="Compact"/>
            </w:pPr>
            <w:r>
              <w:t>Gaps identifiés par le score</w:t>
            </w:r>
          </w:p>
        </w:tc>
        <w:tc>
          <w:tcPr>
            <w:tcW w:w="0" w:type="auto"/>
          </w:tcPr>
          <w:p w14:paraId="34D0AD2F" w14:textId="77777777" w:rsidR="00901B2C" w:rsidRDefault="00056191">
            <w:pPr>
              <w:pStyle w:val="Compact"/>
            </w:pPr>
            <w:r>
              <w:t>Catalogue, devis, prise de rendez-vous</w:t>
            </w:r>
          </w:p>
        </w:tc>
        <w:tc>
          <w:tcPr>
            <w:tcW w:w="0" w:type="auto"/>
          </w:tcPr>
          <w:p w14:paraId="4490A184" w14:textId="77777777" w:rsidR="00901B2C" w:rsidRDefault="00056191">
            <w:pPr>
              <w:pStyle w:val="Compact"/>
            </w:pPr>
            <w:r>
              <w:t>Offre commerciale contextualisée</w:t>
            </w:r>
          </w:p>
        </w:tc>
        <w:tc>
          <w:tcPr>
            <w:tcW w:w="0" w:type="auto"/>
          </w:tcPr>
          <w:p w14:paraId="7B911CB1" w14:textId="77777777" w:rsidR="00901B2C" w:rsidRDefault="00056191">
            <w:pPr>
              <w:pStyle w:val="Compact"/>
            </w:pPr>
            <w:r>
              <w:t>Payant</w:t>
            </w:r>
          </w:p>
        </w:tc>
      </w:tr>
      <w:tr w:rsidR="00901B2C" w14:paraId="2BDDC811" w14:textId="77777777">
        <w:tc>
          <w:tcPr>
            <w:tcW w:w="0" w:type="auto"/>
          </w:tcPr>
          <w:p w14:paraId="5F430478" w14:textId="77777777" w:rsidR="00901B2C" w:rsidRDefault="00056191">
            <w:pPr>
              <w:pStyle w:val="Compact"/>
            </w:pPr>
            <w:r>
              <w:t>Préparation du dossier</w:t>
            </w:r>
          </w:p>
        </w:tc>
        <w:tc>
          <w:tcPr>
            <w:tcW w:w="0" w:type="auto"/>
          </w:tcPr>
          <w:p w14:paraId="290F67A1" w14:textId="77777777" w:rsidR="00901B2C" w:rsidRDefault="00056191">
            <w:pPr>
              <w:pStyle w:val="Compact"/>
            </w:pPr>
            <w:r>
              <w:t>Rendre le deal présentable</w:t>
            </w:r>
          </w:p>
        </w:tc>
        <w:tc>
          <w:tcPr>
            <w:tcW w:w="0" w:type="auto"/>
          </w:tcPr>
          <w:p w14:paraId="4F0764E1" w14:textId="77777777" w:rsidR="00901B2C" w:rsidRDefault="00056191">
            <w:pPr>
              <w:pStyle w:val="Compact"/>
            </w:pPr>
            <w:r>
              <w:t>Modèle financier, cap table, narrative, pièces</w:t>
            </w:r>
          </w:p>
        </w:tc>
        <w:tc>
          <w:tcPr>
            <w:tcW w:w="0" w:type="auto"/>
          </w:tcPr>
          <w:p w14:paraId="69B5D9F6" w14:textId="77777777" w:rsidR="00901B2C" w:rsidRDefault="00056191">
            <w:pPr>
              <w:pStyle w:val="Compact"/>
            </w:pPr>
            <w:r>
              <w:t>Espace mission, tâches, versions, validation cabinet</w:t>
            </w:r>
          </w:p>
        </w:tc>
        <w:tc>
          <w:tcPr>
            <w:tcW w:w="0" w:type="auto"/>
          </w:tcPr>
          <w:p w14:paraId="0077A47D" w14:textId="77777777" w:rsidR="00901B2C" w:rsidRDefault="00056191">
            <w:pPr>
              <w:pStyle w:val="Compact"/>
            </w:pPr>
            <w:r>
              <w:t>Pitch deck, teaser, financial model, data room initiale</w:t>
            </w:r>
          </w:p>
        </w:tc>
        <w:tc>
          <w:tcPr>
            <w:tcW w:w="0" w:type="auto"/>
          </w:tcPr>
          <w:p w14:paraId="08EDF507" w14:textId="77777777" w:rsidR="00901B2C" w:rsidRDefault="00056191">
            <w:pPr>
              <w:pStyle w:val="Compact"/>
            </w:pPr>
            <w:r>
              <w:t>Pack payant</w:t>
            </w:r>
          </w:p>
        </w:tc>
      </w:tr>
      <w:tr w:rsidR="00901B2C" w14:paraId="17D8674C" w14:textId="77777777">
        <w:tc>
          <w:tcPr>
            <w:tcW w:w="0" w:type="auto"/>
          </w:tcPr>
          <w:p w14:paraId="7650EDD5" w14:textId="77777777" w:rsidR="00901B2C" w:rsidRDefault="00056191">
            <w:pPr>
              <w:pStyle w:val="Compact"/>
            </w:pPr>
            <w:r>
              <w:t>Matching financeurs</w:t>
            </w:r>
          </w:p>
        </w:tc>
        <w:tc>
          <w:tcPr>
            <w:tcW w:w="0" w:type="auto"/>
          </w:tcPr>
          <w:p w14:paraId="19C0E8AC" w14:textId="77777777" w:rsidR="00901B2C" w:rsidRDefault="00056191">
            <w:pPr>
              <w:pStyle w:val="Compact"/>
            </w:pPr>
            <w:r>
              <w:t>Identifier les fi</w:t>
            </w:r>
            <w:r>
              <w:t>nanceurs compatibles</w:t>
            </w:r>
          </w:p>
        </w:tc>
        <w:tc>
          <w:tcPr>
            <w:tcW w:w="0" w:type="auto"/>
          </w:tcPr>
          <w:p w14:paraId="18AADA17" w14:textId="77777777" w:rsidR="00901B2C" w:rsidRDefault="00056191">
            <w:pPr>
              <w:pStyle w:val="Compact"/>
            </w:pPr>
            <w:r>
              <w:t>Profil consolidé de l’entreprise</w:t>
            </w:r>
          </w:p>
        </w:tc>
        <w:tc>
          <w:tcPr>
            <w:tcW w:w="0" w:type="auto"/>
          </w:tcPr>
          <w:p w14:paraId="6D7D6265" w14:textId="77777777" w:rsidR="00901B2C" w:rsidRDefault="00056191">
            <w:pPr>
              <w:pStyle w:val="Compact"/>
            </w:pPr>
            <w:r>
              <w:t>Matching règles + revue consultant</w:t>
            </w:r>
          </w:p>
        </w:tc>
        <w:tc>
          <w:tcPr>
            <w:tcW w:w="0" w:type="auto"/>
          </w:tcPr>
          <w:p w14:paraId="7E34A5D0" w14:textId="77777777" w:rsidR="00901B2C" w:rsidRDefault="00056191">
            <w:pPr>
              <w:pStyle w:val="Compact"/>
            </w:pPr>
            <w:r>
              <w:t>Shortlist financeurs</w:t>
            </w:r>
          </w:p>
        </w:tc>
        <w:tc>
          <w:tcPr>
            <w:tcW w:w="0" w:type="auto"/>
          </w:tcPr>
          <w:p w14:paraId="44CA16C5" w14:textId="77777777" w:rsidR="00901B2C" w:rsidRDefault="00056191">
            <w:pPr>
              <w:pStyle w:val="Compact"/>
            </w:pPr>
            <w:r>
              <w:t>Inclus dans mandat ou premium</w:t>
            </w:r>
          </w:p>
        </w:tc>
      </w:tr>
      <w:tr w:rsidR="00901B2C" w14:paraId="239818CA" w14:textId="77777777">
        <w:tc>
          <w:tcPr>
            <w:tcW w:w="0" w:type="auto"/>
          </w:tcPr>
          <w:p w14:paraId="63FF9F61" w14:textId="77777777" w:rsidR="00901B2C" w:rsidRDefault="00056191">
            <w:pPr>
              <w:pStyle w:val="Compact"/>
            </w:pPr>
            <w:r>
              <w:t>Mise en relation contrôlée</w:t>
            </w:r>
          </w:p>
        </w:tc>
        <w:tc>
          <w:tcPr>
            <w:tcW w:w="0" w:type="auto"/>
          </w:tcPr>
          <w:p w14:paraId="60924519" w14:textId="77777777" w:rsidR="00901B2C" w:rsidRDefault="00056191">
            <w:pPr>
              <w:pStyle w:val="Compact"/>
            </w:pPr>
            <w:r>
              <w:t>Ouvrir les discussions sans sur-exposer</w:t>
            </w:r>
          </w:p>
        </w:tc>
        <w:tc>
          <w:tcPr>
            <w:tcW w:w="0" w:type="auto"/>
          </w:tcPr>
          <w:p w14:paraId="6671A965" w14:textId="77777777" w:rsidR="00901B2C" w:rsidRDefault="00056191">
            <w:pPr>
              <w:pStyle w:val="Compact"/>
            </w:pPr>
            <w:r>
              <w:t>Consentement, NDA, niveau d’accès</w:t>
            </w:r>
          </w:p>
        </w:tc>
        <w:tc>
          <w:tcPr>
            <w:tcW w:w="0" w:type="auto"/>
          </w:tcPr>
          <w:p w14:paraId="317C7550" w14:textId="77777777" w:rsidR="00901B2C" w:rsidRDefault="00056191">
            <w:pPr>
              <w:pStyle w:val="Compact"/>
            </w:pPr>
            <w:r>
              <w:t>Workflow d’int</w:t>
            </w:r>
            <w:r>
              <w:t>roduction, anonymisation</w:t>
            </w:r>
          </w:p>
        </w:tc>
        <w:tc>
          <w:tcPr>
            <w:tcW w:w="0" w:type="auto"/>
          </w:tcPr>
          <w:p w14:paraId="0EAD4DF0" w14:textId="77777777" w:rsidR="00901B2C" w:rsidRDefault="00056191">
            <w:pPr>
              <w:pStyle w:val="Compact"/>
            </w:pPr>
            <w:r>
              <w:t>Intro qualifiée, suivi intérêt</w:t>
            </w:r>
          </w:p>
        </w:tc>
        <w:tc>
          <w:tcPr>
            <w:tcW w:w="0" w:type="auto"/>
          </w:tcPr>
          <w:p w14:paraId="2993BBCB" w14:textId="77777777" w:rsidR="00901B2C" w:rsidRDefault="00056191">
            <w:pPr>
              <w:pStyle w:val="Compact"/>
            </w:pPr>
            <w:r>
              <w:t>Retainer</w:t>
            </w:r>
          </w:p>
        </w:tc>
      </w:tr>
      <w:tr w:rsidR="00901B2C" w14:paraId="66291B8A" w14:textId="77777777">
        <w:tc>
          <w:tcPr>
            <w:tcW w:w="0" w:type="auto"/>
          </w:tcPr>
          <w:p w14:paraId="1CFBC025" w14:textId="77777777" w:rsidR="00901B2C" w:rsidRDefault="00056191">
            <w:pPr>
              <w:pStyle w:val="Compact"/>
            </w:pPr>
            <w:r>
              <w:t>Suivi jusqu’au closing</w:t>
            </w:r>
          </w:p>
        </w:tc>
        <w:tc>
          <w:tcPr>
            <w:tcW w:w="0" w:type="auto"/>
          </w:tcPr>
          <w:p w14:paraId="01071F37" w14:textId="77777777" w:rsidR="00901B2C" w:rsidRDefault="00056191">
            <w:pPr>
              <w:pStyle w:val="Compact"/>
            </w:pPr>
            <w:r>
              <w:t>Exécuter le deal</w:t>
            </w:r>
          </w:p>
        </w:tc>
        <w:tc>
          <w:tcPr>
            <w:tcW w:w="0" w:type="auto"/>
          </w:tcPr>
          <w:p w14:paraId="0945374F" w14:textId="77777777" w:rsidR="00901B2C" w:rsidRDefault="00056191">
            <w:pPr>
              <w:pStyle w:val="Compact"/>
            </w:pPr>
            <w:r>
              <w:t>Questions, docs, term sheet, conditions</w:t>
            </w:r>
          </w:p>
        </w:tc>
        <w:tc>
          <w:tcPr>
            <w:tcW w:w="0" w:type="auto"/>
          </w:tcPr>
          <w:p w14:paraId="3F677943" w14:textId="77777777" w:rsidR="00901B2C" w:rsidRDefault="00056191">
            <w:pPr>
              <w:pStyle w:val="Compact"/>
            </w:pPr>
            <w:r>
              <w:t>Pipeline, Q&amp;A, data room, tâches</w:t>
            </w:r>
          </w:p>
        </w:tc>
        <w:tc>
          <w:tcPr>
            <w:tcW w:w="0" w:type="auto"/>
          </w:tcPr>
          <w:p w14:paraId="7FA3E115" w14:textId="77777777" w:rsidR="00901B2C" w:rsidRDefault="00056191">
            <w:pPr>
              <w:pStyle w:val="Compact"/>
            </w:pPr>
            <w:r>
              <w:t>Closing tracker, historique</w:t>
            </w:r>
          </w:p>
        </w:tc>
        <w:tc>
          <w:tcPr>
            <w:tcW w:w="0" w:type="auto"/>
          </w:tcPr>
          <w:p w14:paraId="4CFECDC7" w14:textId="77777777" w:rsidR="00901B2C" w:rsidRDefault="00056191">
            <w:pPr>
              <w:pStyle w:val="Compact"/>
            </w:pPr>
            <w:r>
              <w:t>Retainer + success fee</w:t>
            </w:r>
          </w:p>
        </w:tc>
      </w:tr>
    </w:tbl>
    <w:p w14:paraId="52126B94" w14:textId="77777777" w:rsidR="00901B2C" w:rsidRDefault="00056191">
      <w:pPr>
        <w:pStyle w:val="Corpsdetexte"/>
      </w:pPr>
      <w:r>
        <w:lastRenderedPageBreak/>
        <w:t>Ce parcours a du sens parce qu’il répond exactement aux deux obstacles récurrents identifiés par les institutions de développement : d’un côté un déficit de financement MSME massif, de l’autre des PME souvent petites, peu documentées et difficiles à souscr</w:t>
      </w:r>
      <w:r>
        <w:t xml:space="preserve">ire rapidement pour les financeurs. Il est donc rationnel que le premier produit ne soit pas le financement lui-même, mais le </w:t>
      </w:r>
      <w:r>
        <w:rPr>
          <w:b/>
          <w:bCs/>
        </w:rPr>
        <w:t>readiness</w:t>
      </w:r>
      <w:r>
        <w:t xml:space="preserve">. </w:t>
      </w:r>
      <w:hyperlink r:id="rId14">
        <w:r>
          <w:rPr>
            <w:rStyle w:val="Lienhypertexte"/>
          </w:rPr>
          <w:t>[10]</w:t>
        </w:r>
      </w:hyperlink>
    </w:p>
    <w:p w14:paraId="27B5DC91" w14:textId="77777777" w:rsidR="00901B2C" w:rsidRDefault="00056191">
      <w:pPr>
        <w:pStyle w:val="Corpsdetexte"/>
      </w:pPr>
      <w:r>
        <w:t>Sur le plan AMOA, le scoring doit rester explicable. Une structure simple fonctionne mieux qu’un score opaque :</w:t>
      </w:r>
    </w:p>
    <w:p w14:paraId="06DB6B50" w14:textId="77777777" w:rsidR="00901B2C" w:rsidRDefault="00056191">
      <w:pPr>
        <w:pStyle w:val="SourceCode"/>
      </w:pPr>
      <w:r>
        <w:rPr>
          <w:rStyle w:val="VerbatimChar"/>
        </w:rPr>
        <w:t>Score global = traction + profitabilité/cash-flow + qualité de l'information financière</w:t>
      </w:r>
      <w:r>
        <w:br/>
      </w:r>
      <w:r>
        <w:rPr>
          <w:rStyle w:val="VerbatimChar"/>
        </w:rPr>
        <w:t xml:space="preserve">             + clarté d</w:t>
      </w:r>
      <w:r>
        <w:rPr>
          <w:rStyle w:val="VerbatimChar"/>
        </w:rPr>
        <w:t>u besoin + gouvernance/actionnariat + qualité documentaire</w:t>
      </w:r>
      <w:r>
        <w:br/>
      </w:r>
      <w:r>
        <w:rPr>
          <w:rStyle w:val="VerbatimChar"/>
        </w:rPr>
        <w:t xml:space="preserve">             + scalabilité + ESG/impact - facteurs de risque</w:t>
      </w:r>
    </w:p>
    <w:p w14:paraId="2AB09E3A" w14:textId="77777777" w:rsidR="00901B2C" w:rsidRDefault="00056191">
      <w:pPr>
        <w:pStyle w:val="FirstParagraph"/>
      </w:pPr>
      <w:r>
        <w:t xml:space="preserve">La sortie doit être actionnable, avec quatre catégories : </w:t>
      </w:r>
      <w:r>
        <w:rPr>
          <w:b/>
          <w:bCs/>
        </w:rPr>
        <w:t>Investor-ready</w:t>
      </w:r>
      <w:r>
        <w:t xml:space="preserve">, </w:t>
      </w:r>
      <w:r>
        <w:rPr>
          <w:b/>
          <w:bCs/>
        </w:rPr>
        <w:t>à préparer</w:t>
      </w:r>
      <w:r>
        <w:t xml:space="preserve">, </w:t>
      </w:r>
      <w:r>
        <w:rPr>
          <w:b/>
          <w:bCs/>
        </w:rPr>
        <w:t>mieux adapté à de la dette/banque</w:t>
      </w:r>
      <w:r>
        <w:t xml:space="preserve">, </w:t>
      </w:r>
      <w:r>
        <w:rPr>
          <w:b/>
          <w:bCs/>
        </w:rPr>
        <w:t>trop précoce</w:t>
      </w:r>
      <w:r>
        <w:t>. C</w:t>
      </w:r>
      <w:r>
        <w:t xml:space="preserve">ette catégorisation est importante commercialement, mais aussi réputationnellement : elle vous évite de promettre trop tôt un accès aux investisseurs. Elle vous permet également de monétiser proprement le service de transformation du dossier plutôt que de </w:t>
      </w:r>
      <w:r>
        <w:t xml:space="preserve">tomber dans une logique “pay-to-play”, plus fragile. L’enjeu est d’autant plus important que les PME et MSME restent au cœur des programmes de financement des institutions comme l’IFC et l’AfDB. </w:t>
      </w:r>
      <w:hyperlink r:id="rId15">
        <w:r>
          <w:rPr>
            <w:rStyle w:val="Lienhypertexte"/>
          </w:rPr>
          <w:t>[11]</w:t>
        </w:r>
      </w:hyperlink>
    </w:p>
    <w:p w14:paraId="54B2D975" w14:textId="77777777" w:rsidR="00901B2C" w:rsidRDefault="00056191">
      <w:pPr>
        <w:pStyle w:val="Corpsdetexte"/>
      </w:pPr>
      <w:r>
        <w:t xml:space="preserve">Côté UX, je recommande une collecte </w:t>
      </w:r>
      <w:r>
        <w:rPr>
          <w:b/>
          <w:bCs/>
        </w:rPr>
        <w:t>progressive</w:t>
      </w:r>
      <w:r>
        <w:t xml:space="preserve"> plutôt qu’un formulaire monolithique. Le parcours doit être utilisable sur smartphone, accepter des interruptions, permettre des repris</w:t>
      </w:r>
      <w:r>
        <w:t>es et valoriser chaque étape complétée. Ce choix n’est pas simplement ergonomique ; il colle à la structure réelle des usages financiers numériques dans la région, où la progression du mobile money et des paiements digitaux a précédé, dans beaucoup de cas,</w:t>
      </w:r>
      <w:r>
        <w:t xml:space="preserve"> la montée en puissance d’outils financiers plus sophistiqués. </w:t>
      </w:r>
      <w:hyperlink r:id="rId16">
        <w:r>
          <w:rPr>
            <w:rStyle w:val="Lienhypertexte"/>
          </w:rPr>
          <w:t>[12]</w:t>
        </w:r>
      </w:hyperlink>
    </w:p>
    <w:p w14:paraId="6C4D34CB" w14:textId="77777777" w:rsidR="00901B2C" w:rsidRDefault="00056191">
      <w:pPr>
        <w:pStyle w:val="Titre2"/>
      </w:pPr>
      <w:bookmarkStart w:id="6" w:name="Xa3a67b34095355f5be0af49853e7bae58b77394"/>
      <w:bookmarkEnd w:id="5"/>
      <w:r>
        <w:t>Parcours investisseur et briques fonctionnelles à prévoir</w:t>
      </w:r>
    </w:p>
    <w:p w14:paraId="68EF4109" w14:textId="77777777" w:rsidR="00901B2C" w:rsidRDefault="00056191">
      <w:pPr>
        <w:pStyle w:val="FirstParagraph"/>
      </w:pPr>
      <w:r>
        <w:t xml:space="preserve">Le parcours investisseur doit viser un équilibre entre </w:t>
      </w:r>
      <w:r>
        <w:rPr>
          <w:b/>
          <w:bCs/>
        </w:rPr>
        <w:t>friction utile</w:t>
      </w:r>
      <w:r>
        <w:t xml:space="preserve"> et </w:t>
      </w:r>
      <w:r>
        <w:rPr>
          <w:b/>
          <w:bCs/>
        </w:rPr>
        <w:t>rapidité</w:t>
      </w:r>
      <w:r>
        <w:t>. Trop d’ouverture dégrade la confidentialité et la qualité du dealflow. Trop de fermeture réduit l’adopti</w:t>
      </w:r>
      <w:r>
        <w:t xml:space="preserve">on. La meilleure architecture est un </w:t>
      </w:r>
      <w:r>
        <w:rPr>
          <w:b/>
          <w:bCs/>
        </w:rPr>
        <w:t>accès par niveaux</w:t>
      </w:r>
      <w:r>
        <w:t>, avec montée progressive du degré d’information.</w:t>
      </w:r>
    </w:p>
    <w:tbl>
      <w:tblPr>
        <w:tblStyle w:val="Table"/>
        <w:tblW w:w="0" w:type="auto"/>
        <w:tblLook w:val="0020" w:firstRow="1" w:lastRow="0" w:firstColumn="0" w:lastColumn="0" w:noHBand="0" w:noVBand="0"/>
      </w:tblPr>
      <w:tblGrid>
        <w:gridCol w:w="1557"/>
        <w:gridCol w:w="1430"/>
        <w:gridCol w:w="1646"/>
        <w:gridCol w:w="2092"/>
        <w:gridCol w:w="1430"/>
        <w:gridCol w:w="1467"/>
      </w:tblGrid>
      <w:tr w:rsidR="00901B2C" w14:paraId="5A8E4DA4" w14:textId="77777777" w:rsidTr="00901B2C">
        <w:trPr>
          <w:cnfStyle w:val="100000000000" w:firstRow="1" w:lastRow="0" w:firstColumn="0" w:lastColumn="0" w:oddVBand="0" w:evenVBand="0" w:oddHBand="0" w:evenHBand="0" w:firstRowFirstColumn="0" w:firstRowLastColumn="0" w:lastRowFirstColumn="0" w:lastRowLastColumn="0"/>
          <w:tblHeader/>
        </w:trPr>
        <w:tc>
          <w:tcPr>
            <w:tcW w:w="0" w:type="auto"/>
          </w:tcPr>
          <w:p w14:paraId="3D9EE8AF" w14:textId="77777777" w:rsidR="00901B2C" w:rsidRDefault="00056191">
            <w:pPr>
              <w:pStyle w:val="Compact"/>
            </w:pPr>
            <w:r>
              <w:t>Étape investisseur</w:t>
            </w:r>
          </w:p>
        </w:tc>
        <w:tc>
          <w:tcPr>
            <w:tcW w:w="0" w:type="auto"/>
          </w:tcPr>
          <w:p w14:paraId="1451696E" w14:textId="77777777" w:rsidR="00901B2C" w:rsidRDefault="00056191">
            <w:pPr>
              <w:pStyle w:val="Compact"/>
            </w:pPr>
            <w:r>
              <w:t>Objectif métier</w:t>
            </w:r>
          </w:p>
        </w:tc>
        <w:tc>
          <w:tcPr>
            <w:tcW w:w="0" w:type="auto"/>
          </w:tcPr>
          <w:p w14:paraId="12464B00" w14:textId="77777777" w:rsidR="00901B2C" w:rsidRDefault="00056191">
            <w:pPr>
              <w:pStyle w:val="Compact"/>
            </w:pPr>
            <w:r>
              <w:t>Fonctionnalités nécessaires</w:t>
            </w:r>
          </w:p>
        </w:tc>
        <w:tc>
          <w:tcPr>
            <w:tcW w:w="0" w:type="auto"/>
          </w:tcPr>
          <w:p w14:paraId="2DB7EEA8" w14:textId="77777777" w:rsidR="00901B2C" w:rsidRDefault="00056191">
            <w:pPr>
              <w:pStyle w:val="Compact"/>
            </w:pPr>
            <w:r>
              <w:t>Données nécessaires</w:t>
            </w:r>
          </w:p>
        </w:tc>
        <w:tc>
          <w:tcPr>
            <w:tcW w:w="0" w:type="auto"/>
          </w:tcPr>
          <w:p w14:paraId="044B6A97" w14:textId="77777777" w:rsidR="00901B2C" w:rsidRDefault="00056191">
            <w:pPr>
              <w:pStyle w:val="Compact"/>
            </w:pPr>
            <w:r>
              <w:t>Valeur pour l’investisseur</w:t>
            </w:r>
          </w:p>
        </w:tc>
        <w:tc>
          <w:tcPr>
            <w:tcW w:w="0" w:type="auto"/>
          </w:tcPr>
          <w:p w14:paraId="5C44E83D" w14:textId="77777777" w:rsidR="00901B2C" w:rsidRDefault="00056191">
            <w:pPr>
              <w:pStyle w:val="Compact"/>
            </w:pPr>
            <w:r>
              <w:t>Monétisation possible</w:t>
            </w:r>
          </w:p>
        </w:tc>
      </w:tr>
      <w:tr w:rsidR="00901B2C" w14:paraId="1774D191" w14:textId="77777777">
        <w:tc>
          <w:tcPr>
            <w:tcW w:w="0" w:type="auto"/>
          </w:tcPr>
          <w:p w14:paraId="2045727C" w14:textId="77777777" w:rsidR="00901B2C" w:rsidRDefault="00056191">
            <w:pPr>
              <w:pStyle w:val="Compact"/>
            </w:pPr>
            <w:r>
              <w:t>Création du profil</w:t>
            </w:r>
          </w:p>
        </w:tc>
        <w:tc>
          <w:tcPr>
            <w:tcW w:w="0" w:type="auto"/>
          </w:tcPr>
          <w:p w14:paraId="2345B3B9" w14:textId="77777777" w:rsidR="00901B2C" w:rsidRDefault="00056191">
            <w:pPr>
              <w:pStyle w:val="Compact"/>
            </w:pPr>
            <w:r>
              <w:t>Qualifier l’acteur</w:t>
            </w:r>
          </w:p>
        </w:tc>
        <w:tc>
          <w:tcPr>
            <w:tcW w:w="0" w:type="auto"/>
          </w:tcPr>
          <w:p w14:paraId="440C8E48" w14:textId="77777777" w:rsidR="00901B2C" w:rsidRDefault="00056191">
            <w:pPr>
              <w:pStyle w:val="Compact"/>
            </w:pPr>
            <w:r>
              <w:t>Formulaire, validation manuelle, rôles</w:t>
            </w:r>
          </w:p>
        </w:tc>
        <w:tc>
          <w:tcPr>
            <w:tcW w:w="0" w:type="auto"/>
          </w:tcPr>
          <w:p w14:paraId="30BB4456" w14:textId="77777777" w:rsidR="00901B2C" w:rsidRDefault="00056191">
            <w:pPr>
              <w:pStyle w:val="Compact"/>
            </w:pPr>
            <w:r>
              <w:t>Type investisseur, pays, équipe, contacts</w:t>
            </w:r>
          </w:p>
        </w:tc>
        <w:tc>
          <w:tcPr>
            <w:tcW w:w="0" w:type="auto"/>
          </w:tcPr>
          <w:p w14:paraId="1B396B77" w14:textId="77777777" w:rsidR="00901B2C" w:rsidRDefault="00056191">
            <w:pPr>
              <w:pStyle w:val="Compact"/>
            </w:pPr>
            <w:r>
              <w:t>Accès contrôlé</w:t>
            </w:r>
          </w:p>
        </w:tc>
        <w:tc>
          <w:tcPr>
            <w:tcW w:w="0" w:type="auto"/>
          </w:tcPr>
          <w:p w14:paraId="04DC6E01" w14:textId="77777777" w:rsidR="00901B2C" w:rsidRDefault="00056191">
            <w:pPr>
              <w:pStyle w:val="Compact"/>
            </w:pPr>
            <w:r>
              <w:t>Gratuit ou invitation</w:t>
            </w:r>
          </w:p>
        </w:tc>
      </w:tr>
      <w:tr w:rsidR="00901B2C" w14:paraId="6B93FC24" w14:textId="77777777">
        <w:tc>
          <w:tcPr>
            <w:tcW w:w="0" w:type="auto"/>
          </w:tcPr>
          <w:p w14:paraId="779859CD" w14:textId="77777777" w:rsidR="00901B2C" w:rsidRDefault="00056191">
            <w:pPr>
              <w:pStyle w:val="Compact"/>
            </w:pPr>
            <w:r>
              <w:t>Paramétrage des critères</w:t>
            </w:r>
          </w:p>
        </w:tc>
        <w:tc>
          <w:tcPr>
            <w:tcW w:w="0" w:type="auto"/>
          </w:tcPr>
          <w:p w14:paraId="2AB9FB2B" w14:textId="77777777" w:rsidR="00901B2C" w:rsidRDefault="00056191">
            <w:pPr>
              <w:pStyle w:val="Compact"/>
            </w:pPr>
            <w:r>
              <w:t>Formaliser la thèse</w:t>
            </w:r>
          </w:p>
        </w:tc>
        <w:tc>
          <w:tcPr>
            <w:tcW w:w="0" w:type="auto"/>
          </w:tcPr>
          <w:p w14:paraId="3BE57777" w14:textId="77777777" w:rsidR="00901B2C" w:rsidRDefault="00056191">
            <w:pPr>
              <w:pStyle w:val="Compact"/>
            </w:pPr>
            <w:r>
              <w:t xml:space="preserve">Filtres, listes d’exclusion, </w:t>
            </w:r>
            <w:r>
              <w:lastRenderedPageBreak/>
              <w:t>pondérations</w:t>
            </w:r>
          </w:p>
        </w:tc>
        <w:tc>
          <w:tcPr>
            <w:tcW w:w="0" w:type="auto"/>
          </w:tcPr>
          <w:p w14:paraId="6D24D7B6" w14:textId="77777777" w:rsidR="00901B2C" w:rsidRDefault="00056191">
            <w:pPr>
              <w:pStyle w:val="Compact"/>
            </w:pPr>
            <w:r>
              <w:lastRenderedPageBreak/>
              <w:t xml:space="preserve">Pays, secteurs, ticket, instrument, </w:t>
            </w:r>
            <w:r>
              <w:lastRenderedPageBreak/>
              <w:t>stade, rentabilité, ESG</w:t>
            </w:r>
          </w:p>
        </w:tc>
        <w:tc>
          <w:tcPr>
            <w:tcW w:w="0" w:type="auto"/>
          </w:tcPr>
          <w:p w14:paraId="397445E5" w14:textId="77777777" w:rsidR="00901B2C" w:rsidRDefault="00056191">
            <w:pPr>
              <w:pStyle w:val="Compact"/>
            </w:pPr>
            <w:r>
              <w:lastRenderedPageBreak/>
              <w:t>Dealflow pertinent</w:t>
            </w:r>
          </w:p>
        </w:tc>
        <w:tc>
          <w:tcPr>
            <w:tcW w:w="0" w:type="auto"/>
          </w:tcPr>
          <w:p w14:paraId="3CAA47DF" w14:textId="77777777" w:rsidR="00901B2C" w:rsidRDefault="00056191">
            <w:pPr>
              <w:pStyle w:val="Compact"/>
            </w:pPr>
            <w:r>
              <w:t>Abonnement</w:t>
            </w:r>
          </w:p>
        </w:tc>
      </w:tr>
      <w:tr w:rsidR="00901B2C" w14:paraId="63BAB4A9" w14:textId="77777777">
        <w:tc>
          <w:tcPr>
            <w:tcW w:w="0" w:type="auto"/>
          </w:tcPr>
          <w:p w14:paraId="273CF1E2" w14:textId="77777777" w:rsidR="00901B2C" w:rsidRDefault="00056191">
            <w:pPr>
              <w:pStyle w:val="Compact"/>
            </w:pPr>
            <w:r>
              <w:t>Consultation de teasers anonymisés</w:t>
            </w:r>
          </w:p>
        </w:tc>
        <w:tc>
          <w:tcPr>
            <w:tcW w:w="0" w:type="auto"/>
          </w:tcPr>
          <w:p w14:paraId="681827DE" w14:textId="77777777" w:rsidR="00901B2C" w:rsidRDefault="00056191">
            <w:pPr>
              <w:pStyle w:val="Compact"/>
            </w:pPr>
            <w:r>
              <w:t>Découvrir rapidement des opportunités</w:t>
            </w:r>
          </w:p>
        </w:tc>
        <w:tc>
          <w:tcPr>
            <w:tcW w:w="0" w:type="auto"/>
          </w:tcPr>
          <w:p w14:paraId="01BE5568" w14:textId="77777777" w:rsidR="00901B2C" w:rsidRDefault="00056191">
            <w:pPr>
              <w:pStyle w:val="Compact"/>
            </w:pPr>
            <w:r>
              <w:t>Catalogue privé, filtres, score de fit</w:t>
            </w:r>
          </w:p>
        </w:tc>
        <w:tc>
          <w:tcPr>
            <w:tcW w:w="0" w:type="auto"/>
          </w:tcPr>
          <w:p w14:paraId="7DDF1D84" w14:textId="77777777" w:rsidR="00901B2C" w:rsidRDefault="00056191">
            <w:pPr>
              <w:pStyle w:val="Compact"/>
            </w:pPr>
            <w:r>
              <w:t>Données rés</w:t>
            </w:r>
            <w:r>
              <w:t>umées des deals</w:t>
            </w:r>
          </w:p>
        </w:tc>
        <w:tc>
          <w:tcPr>
            <w:tcW w:w="0" w:type="auto"/>
          </w:tcPr>
          <w:p w14:paraId="737C4DA2" w14:textId="77777777" w:rsidR="00901B2C" w:rsidRDefault="00056191">
            <w:pPr>
              <w:pStyle w:val="Compact"/>
            </w:pPr>
            <w:r>
              <w:t>Gain de temps</w:t>
            </w:r>
          </w:p>
        </w:tc>
        <w:tc>
          <w:tcPr>
            <w:tcW w:w="0" w:type="auto"/>
          </w:tcPr>
          <w:p w14:paraId="02BB3A5D" w14:textId="77777777" w:rsidR="00901B2C" w:rsidRDefault="00056191">
            <w:pPr>
              <w:pStyle w:val="Compact"/>
            </w:pPr>
            <w:r>
              <w:t>Abonnement</w:t>
            </w:r>
          </w:p>
        </w:tc>
      </w:tr>
      <w:tr w:rsidR="00901B2C" w14:paraId="7CD58DCB" w14:textId="77777777">
        <w:tc>
          <w:tcPr>
            <w:tcW w:w="0" w:type="auto"/>
          </w:tcPr>
          <w:p w14:paraId="0CB19E0D" w14:textId="77777777" w:rsidR="00901B2C" w:rsidRDefault="00056191">
            <w:pPr>
              <w:pStyle w:val="Compact"/>
            </w:pPr>
            <w:r>
              <w:t>Shortlist</w:t>
            </w:r>
          </w:p>
        </w:tc>
        <w:tc>
          <w:tcPr>
            <w:tcW w:w="0" w:type="auto"/>
          </w:tcPr>
          <w:p w14:paraId="15091D5C" w14:textId="77777777" w:rsidR="00901B2C" w:rsidRDefault="00056191">
            <w:pPr>
              <w:pStyle w:val="Compact"/>
            </w:pPr>
            <w:r>
              <w:t>Prioriser</w:t>
            </w:r>
          </w:p>
        </w:tc>
        <w:tc>
          <w:tcPr>
            <w:tcW w:w="0" w:type="auto"/>
          </w:tcPr>
          <w:p w14:paraId="19B81496" w14:textId="77777777" w:rsidR="00901B2C" w:rsidRDefault="00056191">
            <w:pPr>
              <w:pStyle w:val="Compact"/>
            </w:pPr>
            <w:r>
              <w:t>Favoris, tags, commentaires internes</w:t>
            </w:r>
          </w:p>
        </w:tc>
        <w:tc>
          <w:tcPr>
            <w:tcW w:w="0" w:type="auto"/>
          </w:tcPr>
          <w:p w14:paraId="45FA80E1" w14:textId="77777777" w:rsidR="00901B2C" w:rsidRDefault="00056191">
            <w:pPr>
              <w:pStyle w:val="Compact"/>
            </w:pPr>
            <w:r>
              <w:t>Préférences utilisateur</w:t>
            </w:r>
          </w:p>
        </w:tc>
        <w:tc>
          <w:tcPr>
            <w:tcW w:w="0" w:type="auto"/>
          </w:tcPr>
          <w:p w14:paraId="362F0F08" w14:textId="77777777" w:rsidR="00901B2C" w:rsidRDefault="00056191">
            <w:pPr>
              <w:pStyle w:val="Compact"/>
            </w:pPr>
            <w:r>
              <w:t>Meilleur suivi</w:t>
            </w:r>
          </w:p>
        </w:tc>
        <w:tc>
          <w:tcPr>
            <w:tcW w:w="0" w:type="auto"/>
          </w:tcPr>
          <w:p w14:paraId="466070D6" w14:textId="77777777" w:rsidR="00901B2C" w:rsidRDefault="00056191">
            <w:pPr>
              <w:pStyle w:val="Compact"/>
            </w:pPr>
            <w:r>
              <w:t>Abonnement premium</w:t>
            </w:r>
          </w:p>
        </w:tc>
      </w:tr>
      <w:tr w:rsidR="00901B2C" w14:paraId="4938F3CE" w14:textId="77777777">
        <w:tc>
          <w:tcPr>
            <w:tcW w:w="0" w:type="auto"/>
          </w:tcPr>
          <w:p w14:paraId="27AD8C99" w14:textId="77777777" w:rsidR="00901B2C" w:rsidRDefault="00056191">
            <w:pPr>
              <w:pStyle w:val="Compact"/>
            </w:pPr>
            <w:r>
              <w:t>Manifestation d’intérêt</w:t>
            </w:r>
          </w:p>
        </w:tc>
        <w:tc>
          <w:tcPr>
            <w:tcW w:w="0" w:type="auto"/>
          </w:tcPr>
          <w:p w14:paraId="47F79A21" w14:textId="77777777" w:rsidR="00901B2C" w:rsidRDefault="00056191">
            <w:pPr>
              <w:pStyle w:val="Compact"/>
            </w:pPr>
            <w:r>
              <w:t>Déclencher le process</w:t>
            </w:r>
          </w:p>
        </w:tc>
        <w:tc>
          <w:tcPr>
            <w:tcW w:w="0" w:type="auto"/>
          </w:tcPr>
          <w:p w14:paraId="00E0C7F2" w14:textId="77777777" w:rsidR="00901B2C" w:rsidRDefault="00056191">
            <w:pPr>
              <w:pStyle w:val="Compact"/>
            </w:pPr>
            <w:r>
              <w:t>Bouton intérêt, workflow, justification</w:t>
            </w:r>
          </w:p>
        </w:tc>
        <w:tc>
          <w:tcPr>
            <w:tcW w:w="0" w:type="auto"/>
          </w:tcPr>
          <w:p w14:paraId="4A634E3A" w14:textId="77777777" w:rsidR="00901B2C" w:rsidRDefault="00056191">
            <w:pPr>
              <w:pStyle w:val="Compact"/>
            </w:pPr>
            <w:r>
              <w:t>Intérêt et motif</w:t>
            </w:r>
          </w:p>
        </w:tc>
        <w:tc>
          <w:tcPr>
            <w:tcW w:w="0" w:type="auto"/>
          </w:tcPr>
          <w:p w14:paraId="5EBCF391" w14:textId="77777777" w:rsidR="00901B2C" w:rsidRDefault="00056191">
            <w:pPr>
              <w:pStyle w:val="Compact"/>
            </w:pPr>
            <w:r>
              <w:t>Pipeline propre</w:t>
            </w:r>
          </w:p>
        </w:tc>
        <w:tc>
          <w:tcPr>
            <w:tcW w:w="0" w:type="auto"/>
          </w:tcPr>
          <w:p w14:paraId="11D8E795" w14:textId="77777777" w:rsidR="00901B2C" w:rsidRDefault="00056191">
            <w:pPr>
              <w:pStyle w:val="Compact"/>
            </w:pPr>
            <w:r>
              <w:t>Inclus</w:t>
            </w:r>
          </w:p>
        </w:tc>
      </w:tr>
      <w:tr w:rsidR="00901B2C" w14:paraId="3FF4B7E4" w14:textId="77777777">
        <w:tc>
          <w:tcPr>
            <w:tcW w:w="0" w:type="auto"/>
          </w:tcPr>
          <w:p w14:paraId="28EDF3EA" w14:textId="77777777" w:rsidR="00901B2C" w:rsidRDefault="00056191">
            <w:pPr>
              <w:pStyle w:val="Compact"/>
            </w:pPr>
            <w:r>
              <w:t>NDA</w:t>
            </w:r>
          </w:p>
        </w:tc>
        <w:tc>
          <w:tcPr>
            <w:tcW w:w="0" w:type="auto"/>
          </w:tcPr>
          <w:p w14:paraId="4BB315D3" w14:textId="77777777" w:rsidR="00901B2C" w:rsidRDefault="00056191">
            <w:pPr>
              <w:pStyle w:val="Compact"/>
            </w:pPr>
            <w:r>
              <w:t>Encadrer l’accès</w:t>
            </w:r>
          </w:p>
        </w:tc>
        <w:tc>
          <w:tcPr>
            <w:tcW w:w="0" w:type="auto"/>
          </w:tcPr>
          <w:p w14:paraId="305913DF" w14:textId="77777777" w:rsidR="00901B2C" w:rsidRDefault="00056191">
            <w:pPr>
              <w:pStyle w:val="Compact"/>
            </w:pPr>
            <w:r>
              <w:t>Signature électronique, versioning</w:t>
            </w:r>
          </w:p>
        </w:tc>
        <w:tc>
          <w:tcPr>
            <w:tcW w:w="0" w:type="auto"/>
          </w:tcPr>
          <w:p w14:paraId="645C3225" w14:textId="77777777" w:rsidR="00901B2C" w:rsidRDefault="00056191">
            <w:pPr>
              <w:pStyle w:val="Compact"/>
            </w:pPr>
            <w:r>
              <w:t>Parties, date, modèle NDA</w:t>
            </w:r>
          </w:p>
        </w:tc>
        <w:tc>
          <w:tcPr>
            <w:tcW w:w="0" w:type="auto"/>
          </w:tcPr>
          <w:p w14:paraId="3FFC9101" w14:textId="77777777" w:rsidR="00901B2C" w:rsidRDefault="00056191">
            <w:pPr>
              <w:pStyle w:val="Compact"/>
            </w:pPr>
            <w:r>
              <w:t>Réduction du risque</w:t>
            </w:r>
          </w:p>
        </w:tc>
        <w:tc>
          <w:tcPr>
            <w:tcW w:w="0" w:type="auto"/>
          </w:tcPr>
          <w:p w14:paraId="5753ABDA" w14:textId="77777777" w:rsidR="00901B2C" w:rsidRDefault="00056191">
            <w:pPr>
              <w:pStyle w:val="Compact"/>
            </w:pPr>
            <w:r>
              <w:t>Premium / fee</w:t>
            </w:r>
          </w:p>
        </w:tc>
      </w:tr>
      <w:tr w:rsidR="00901B2C" w14:paraId="405D49B6" w14:textId="77777777">
        <w:tc>
          <w:tcPr>
            <w:tcW w:w="0" w:type="auto"/>
          </w:tcPr>
          <w:p w14:paraId="2A3F7CAC" w14:textId="77777777" w:rsidR="00901B2C" w:rsidRDefault="00056191">
            <w:pPr>
              <w:pStyle w:val="Compact"/>
            </w:pPr>
            <w:r>
              <w:t>Accès data room</w:t>
            </w:r>
          </w:p>
        </w:tc>
        <w:tc>
          <w:tcPr>
            <w:tcW w:w="0" w:type="auto"/>
          </w:tcPr>
          <w:p w14:paraId="609E99F7" w14:textId="77777777" w:rsidR="00901B2C" w:rsidRDefault="00056191">
            <w:pPr>
              <w:pStyle w:val="Compact"/>
            </w:pPr>
            <w:r>
              <w:t>Lancer l’analyse</w:t>
            </w:r>
          </w:p>
        </w:tc>
        <w:tc>
          <w:tcPr>
            <w:tcW w:w="0" w:type="auto"/>
          </w:tcPr>
          <w:p w14:paraId="3F857D82" w14:textId="77777777" w:rsidR="00901B2C" w:rsidRDefault="00056191">
            <w:pPr>
              <w:pStyle w:val="Compact"/>
            </w:pPr>
            <w:r>
              <w:t>Permissions, watermark, l</w:t>
            </w:r>
            <w:r>
              <w:t>ogs</w:t>
            </w:r>
          </w:p>
        </w:tc>
        <w:tc>
          <w:tcPr>
            <w:tcW w:w="0" w:type="auto"/>
          </w:tcPr>
          <w:p w14:paraId="7F2CC9D3" w14:textId="77777777" w:rsidR="00901B2C" w:rsidRDefault="00056191">
            <w:pPr>
              <w:pStyle w:val="Compact"/>
            </w:pPr>
            <w:r>
              <w:t>Documents et droits</w:t>
            </w:r>
          </w:p>
        </w:tc>
        <w:tc>
          <w:tcPr>
            <w:tcW w:w="0" w:type="auto"/>
          </w:tcPr>
          <w:p w14:paraId="7447AF8A" w14:textId="77777777" w:rsidR="00901B2C" w:rsidRDefault="00056191">
            <w:pPr>
              <w:pStyle w:val="Compact"/>
            </w:pPr>
            <w:r>
              <w:t>Diligence accélérée</w:t>
            </w:r>
          </w:p>
        </w:tc>
        <w:tc>
          <w:tcPr>
            <w:tcW w:w="0" w:type="auto"/>
          </w:tcPr>
          <w:p w14:paraId="7D264621" w14:textId="77777777" w:rsidR="00901B2C" w:rsidRDefault="00056191">
            <w:pPr>
              <w:pStyle w:val="Compact"/>
            </w:pPr>
            <w:r>
              <w:t>Fee data room</w:t>
            </w:r>
          </w:p>
        </w:tc>
      </w:tr>
      <w:tr w:rsidR="00901B2C" w14:paraId="687E4BA6" w14:textId="77777777">
        <w:tc>
          <w:tcPr>
            <w:tcW w:w="0" w:type="auto"/>
          </w:tcPr>
          <w:p w14:paraId="55E1B058" w14:textId="77777777" w:rsidR="00901B2C" w:rsidRDefault="00056191">
            <w:pPr>
              <w:pStyle w:val="Compact"/>
            </w:pPr>
            <w:r>
              <w:t>Q&amp;A</w:t>
            </w:r>
          </w:p>
        </w:tc>
        <w:tc>
          <w:tcPr>
            <w:tcW w:w="0" w:type="auto"/>
          </w:tcPr>
          <w:p w14:paraId="4E370905" w14:textId="77777777" w:rsidR="00901B2C" w:rsidRDefault="00056191">
            <w:pPr>
              <w:pStyle w:val="Compact"/>
            </w:pPr>
            <w:r>
              <w:t>Centraliser les questions</w:t>
            </w:r>
          </w:p>
        </w:tc>
        <w:tc>
          <w:tcPr>
            <w:tcW w:w="0" w:type="auto"/>
          </w:tcPr>
          <w:p w14:paraId="3061D19F" w14:textId="77777777" w:rsidR="00901B2C" w:rsidRDefault="00056191">
            <w:pPr>
              <w:pStyle w:val="Compact"/>
            </w:pPr>
            <w:r>
              <w:t>Interface Q&amp;A, assignation, statut</w:t>
            </w:r>
          </w:p>
        </w:tc>
        <w:tc>
          <w:tcPr>
            <w:tcW w:w="0" w:type="auto"/>
          </w:tcPr>
          <w:p w14:paraId="33B37B35" w14:textId="77777777" w:rsidR="00901B2C" w:rsidRDefault="00056191">
            <w:pPr>
              <w:pStyle w:val="Compact"/>
            </w:pPr>
            <w:r>
              <w:t>Questions/réponses</w:t>
            </w:r>
          </w:p>
        </w:tc>
        <w:tc>
          <w:tcPr>
            <w:tcW w:w="0" w:type="auto"/>
          </w:tcPr>
          <w:p w14:paraId="078A6DCF" w14:textId="77777777" w:rsidR="00901B2C" w:rsidRDefault="00056191">
            <w:pPr>
              <w:pStyle w:val="Compact"/>
            </w:pPr>
            <w:r>
              <w:t>Moins d’emails dispersés</w:t>
            </w:r>
          </w:p>
        </w:tc>
        <w:tc>
          <w:tcPr>
            <w:tcW w:w="0" w:type="auto"/>
          </w:tcPr>
          <w:p w14:paraId="64A35199" w14:textId="77777777" w:rsidR="00901B2C" w:rsidRDefault="00056191">
            <w:pPr>
              <w:pStyle w:val="Compact"/>
            </w:pPr>
            <w:r>
              <w:t>Premium</w:t>
            </w:r>
          </w:p>
        </w:tc>
      </w:tr>
      <w:tr w:rsidR="00901B2C" w14:paraId="4573346E" w14:textId="77777777">
        <w:tc>
          <w:tcPr>
            <w:tcW w:w="0" w:type="auto"/>
          </w:tcPr>
          <w:p w14:paraId="5028FCD1" w14:textId="77777777" w:rsidR="00901B2C" w:rsidRDefault="00056191">
            <w:pPr>
              <w:pStyle w:val="Compact"/>
            </w:pPr>
            <w:r>
              <w:t>Feedback</w:t>
            </w:r>
          </w:p>
        </w:tc>
        <w:tc>
          <w:tcPr>
            <w:tcW w:w="0" w:type="auto"/>
          </w:tcPr>
          <w:p w14:paraId="4F77ABC7" w14:textId="77777777" w:rsidR="00901B2C" w:rsidRDefault="00056191">
            <w:pPr>
              <w:pStyle w:val="Compact"/>
            </w:pPr>
            <w:r>
              <w:t>Apprendre des refus et intérêts</w:t>
            </w:r>
          </w:p>
        </w:tc>
        <w:tc>
          <w:tcPr>
            <w:tcW w:w="0" w:type="auto"/>
          </w:tcPr>
          <w:p w14:paraId="3D05C091" w14:textId="77777777" w:rsidR="00901B2C" w:rsidRDefault="00056191">
            <w:pPr>
              <w:pStyle w:val="Compact"/>
            </w:pPr>
            <w:r>
              <w:t>Formulaire structuré</w:t>
            </w:r>
          </w:p>
        </w:tc>
        <w:tc>
          <w:tcPr>
            <w:tcW w:w="0" w:type="auto"/>
          </w:tcPr>
          <w:p w14:paraId="20B95B43" w14:textId="77777777" w:rsidR="00901B2C" w:rsidRDefault="00056191">
            <w:pPr>
              <w:pStyle w:val="Compact"/>
            </w:pPr>
            <w:r>
              <w:t>Motifs, next step</w:t>
            </w:r>
          </w:p>
        </w:tc>
        <w:tc>
          <w:tcPr>
            <w:tcW w:w="0" w:type="auto"/>
          </w:tcPr>
          <w:p w14:paraId="01EED1FD" w14:textId="77777777" w:rsidR="00901B2C" w:rsidRDefault="00056191">
            <w:pPr>
              <w:pStyle w:val="Compact"/>
            </w:pPr>
            <w:r>
              <w:t>Meilleure qualité future</w:t>
            </w:r>
          </w:p>
        </w:tc>
        <w:tc>
          <w:tcPr>
            <w:tcW w:w="0" w:type="auto"/>
          </w:tcPr>
          <w:p w14:paraId="41FA96AD" w14:textId="77777777" w:rsidR="00901B2C" w:rsidRDefault="00056191">
            <w:pPr>
              <w:pStyle w:val="Compact"/>
            </w:pPr>
            <w:r>
              <w:t>Inclus</w:t>
            </w:r>
          </w:p>
        </w:tc>
      </w:tr>
      <w:tr w:rsidR="00901B2C" w14:paraId="26D3B231" w14:textId="77777777">
        <w:tc>
          <w:tcPr>
            <w:tcW w:w="0" w:type="auto"/>
          </w:tcPr>
          <w:p w14:paraId="6FAF38AC" w14:textId="77777777" w:rsidR="00901B2C" w:rsidRDefault="00056191">
            <w:pPr>
              <w:pStyle w:val="Compact"/>
            </w:pPr>
            <w:r>
              <w:t>Due diligence</w:t>
            </w:r>
          </w:p>
        </w:tc>
        <w:tc>
          <w:tcPr>
            <w:tcW w:w="0" w:type="auto"/>
          </w:tcPr>
          <w:p w14:paraId="301E2116" w14:textId="77777777" w:rsidR="00901B2C" w:rsidRDefault="00056191">
            <w:pPr>
              <w:pStyle w:val="Compact"/>
            </w:pPr>
            <w:r>
              <w:t>Passer en analyse approfondie</w:t>
            </w:r>
          </w:p>
        </w:tc>
        <w:tc>
          <w:tcPr>
            <w:tcW w:w="0" w:type="auto"/>
          </w:tcPr>
          <w:p w14:paraId="0EE8138D" w14:textId="77777777" w:rsidR="00901B2C" w:rsidRDefault="00056191">
            <w:pPr>
              <w:pStyle w:val="Compact"/>
            </w:pPr>
            <w:r>
              <w:t>Checklist DD, tâches, red flags</w:t>
            </w:r>
          </w:p>
        </w:tc>
        <w:tc>
          <w:tcPr>
            <w:tcW w:w="0" w:type="auto"/>
          </w:tcPr>
          <w:p w14:paraId="7842B16E" w14:textId="77777777" w:rsidR="00901B2C" w:rsidRDefault="00056191">
            <w:pPr>
              <w:pStyle w:val="Compact"/>
            </w:pPr>
            <w:r>
              <w:t>Financier, juridique, fiscal, ESG</w:t>
            </w:r>
          </w:p>
        </w:tc>
        <w:tc>
          <w:tcPr>
            <w:tcW w:w="0" w:type="auto"/>
          </w:tcPr>
          <w:p w14:paraId="319DC56B" w14:textId="77777777" w:rsidR="00901B2C" w:rsidRDefault="00056191">
            <w:pPr>
              <w:pStyle w:val="Compact"/>
            </w:pPr>
            <w:r>
              <w:t>Décision plus rapide</w:t>
            </w:r>
          </w:p>
        </w:tc>
        <w:tc>
          <w:tcPr>
            <w:tcW w:w="0" w:type="auto"/>
          </w:tcPr>
          <w:p w14:paraId="0CAB6879" w14:textId="77777777" w:rsidR="00901B2C" w:rsidRDefault="00056191">
            <w:pPr>
              <w:pStyle w:val="Compact"/>
            </w:pPr>
            <w:r>
              <w:t>Mission premium</w:t>
            </w:r>
          </w:p>
        </w:tc>
      </w:tr>
      <w:tr w:rsidR="00901B2C" w14:paraId="4229BF17" w14:textId="77777777">
        <w:tc>
          <w:tcPr>
            <w:tcW w:w="0" w:type="auto"/>
          </w:tcPr>
          <w:p w14:paraId="2267B92D" w14:textId="77777777" w:rsidR="00901B2C" w:rsidRDefault="00056191">
            <w:pPr>
              <w:pStyle w:val="Compact"/>
            </w:pPr>
            <w:r>
              <w:t>Suivi transactionnel</w:t>
            </w:r>
          </w:p>
        </w:tc>
        <w:tc>
          <w:tcPr>
            <w:tcW w:w="0" w:type="auto"/>
          </w:tcPr>
          <w:p w14:paraId="0037AFBE" w14:textId="77777777" w:rsidR="00901B2C" w:rsidRDefault="00056191">
            <w:pPr>
              <w:pStyle w:val="Compact"/>
            </w:pPr>
            <w:r>
              <w:t xml:space="preserve">Aller jusqu’au </w:t>
            </w:r>
            <w:r>
              <w:t>closing</w:t>
            </w:r>
          </w:p>
        </w:tc>
        <w:tc>
          <w:tcPr>
            <w:tcW w:w="0" w:type="auto"/>
          </w:tcPr>
          <w:p w14:paraId="735DCEEE" w14:textId="77777777" w:rsidR="00901B2C" w:rsidRDefault="00056191">
            <w:pPr>
              <w:pStyle w:val="Compact"/>
            </w:pPr>
            <w:r>
              <w:t>Pipeline, jalons, docs de closing</w:t>
            </w:r>
          </w:p>
        </w:tc>
        <w:tc>
          <w:tcPr>
            <w:tcW w:w="0" w:type="auto"/>
          </w:tcPr>
          <w:p w14:paraId="70D88888" w14:textId="77777777" w:rsidR="00901B2C" w:rsidRDefault="00056191">
            <w:pPr>
              <w:pStyle w:val="Compact"/>
            </w:pPr>
            <w:r>
              <w:t>Term sheet, CPs, SPA/SHA</w:t>
            </w:r>
          </w:p>
        </w:tc>
        <w:tc>
          <w:tcPr>
            <w:tcW w:w="0" w:type="auto"/>
          </w:tcPr>
          <w:p w14:paraId="3DFAAC3D" w14:textId="77777777" w:rsidR="00901B2C" w:rsidRDefault="00056191">
            <w:pPr>
              <w:pStyle w:val="Compact"/>
            </w:pPr>
            <w:r>
              <w:t>Visibilité complète</w:t>
            </w:r>
          </w:p>
        </w:tc>
        <w:tc>
          <w:tcPr>
            <w:tcW w:w="0" w:type="auto"/>
          </w:tcPr>
          <w:p w14:paraId="54AE6A1D" w14:textId="77777777" w:rsidR="00901B2C" w:rsidRDefault="00056191">
            <w:pPr>
              <w:pStyle w:val="Compact"/>
            </w:pPr>
            <w:r>
              <w:t>Retainer / success fee</w:t>
            </w:r>
          </w:p>
        </w:tc>
      </w:tr>
    </w:tbl>
    <w:p w14:paraId="5694A60D" w14:textId="77777777" w:rsidR="00901B2C" w:rsidRDefault="00056191">
      <w:pPr>
        <w:pStyle w:val="Corpsdetexte"/>
      </w:pPr>
      <w:r>
        <w:t>Cette logique d’accès gradué est très cohérente avec les solutions de référence du marché. Affinity met l’accent sur la relation intelligence, la capture automatisée et la vitesse de sourcing et de closing ; Intapp DealCloud se positionne sur la gestion de</w:t>
      </w:r>
      <w:r>
        <w:t xml:space="preserve">s relations, des transactions, des workflows et de la conformité ; Dynamo se présente comme une solution intégrée de CRM, deal management et diligence ; et Datasite distingue clairement le rôle d’une VDR purpose-built pour </w:t>
      </w:r>
      <w:r>
        <w:lastRenderedPageBreak/>
        <w:t>M&amp;A, avec permissions granulaires</w:t>
      </w:r>
      <w:r>
        <w:t xml:space="preserve"> et audit trails, de celui d’un simple partage de fichiers. Pour votre plateforme, cela signifie qu’il faut penser séparément — mais connecter — le </w:t>
      </w:r>
      <w:r>
        <w:rPr>
          <w:b/>
          <w:bCs/>
        </w:rPr>
        <w:t>deal CRM</w:t>
      </w:r>
      <w:r>
        <w:t xml:space="preserve">, le </w:t>
      </w:r>
      <w:r>
        <w:rPr>
          <w:b/>
          <w:bCs/>
        </w:rPr>
        <w:t>matching</w:t>
      </w:r>
      <w:r>
        <w:t xml:space="preserve">, la </w:t>
      </w:r>
      <w:r>
        <w:rPr>
          <w:b/>
          <w:bCs/>
        </w:rPr>
        <w:t>VDR</w:t>
      </w:r>
      <w:r>
        <w:t xml:space="preserve"> et le </w:t>
      </w:r>
      <w:r>
        <w:rPr>
          <w:b/>
          <w:bCs/>
        </w:rPr>
        <w:t>closing tracker</w:t>
      </w:r>
      <w:r>
        <w:t xml:space="preserve">. </w:t>
      </w:r>
      <w:hyperlink r:id="rId17">
        <w:r>
          <w:rPr>
            <w:rStyle w:val="Lienhypertexte"/>
          </w:rPr>
          <w:t>[13]</w:t>
        </w:r>
      </w:hyperlink>
    </w:p>
    <w:p w14:paraId="1FB3329E" w14:textId="77777777" w:rsidR="00901B2C" w:rsidRDefault="00056191">
      <w:pPr>
        <w:pStyle w:val="Titre3"/>
      </w:pPr>
      <w:bookmarkStart w:id="7" w:name="briques-fonctionnelles-et-priorisation"/>
      <w:r>
        <w:t>Briques fonctionnelles et priorisation</w:t>
      </w:r>
    </w:p>
    <w:p w14:paraId="38A98E79" w14:textId="77777777" w:rsidR="00901B2C" w:rsidRDefault="00056191">
      <w:pPr>
        <w:pStyle w:val="FirstParagraph"/>
      </w:pPr>
      <w:r>
        <w:t>Le tableau suivant traduit cette logique en modules AMOA avec priorité de mise en œuvre.</w:t>
      </w:r>
    </w:p>
    <w:tbl>
      <w:tblPr>
        <w:tblStyle w:val="Table"/>
        <w:tblW w:w="0" w:type="auto"/>
        <w:tblLook w:val="0020" w:firstRow="1" w:lastRow="0" w:firstColumn="0" w:lastColumn="0" w:noHBand="0" w:noVBand="0"/>
      </w:tblPr>
      <w:tblGrid>
        <w:gridCol w:w="2003"/>
        <w:gridCol w:w="1607"/>
        <w:gridCol w:w="1607"/>
        <w:gridCol w:w="935"/>
        <w:gridCol w:w="1962"/>
        <w:gridCol w:w="1508"/>
      </w:tblGrid>
      <w:tr w:rsidR="00901B2C" w14:paraId="22EA87FC" w14:textId="77777777" w:rsidTr="00901B2C">
        <w:trPr>
          <w:cnfStyle w:val="100000000000" w:firstRow="1" w:lastRow="0" w:firstColumn="0" w:lastColumn="0" w:oddVBand="0" w:evenVBand="0" w:oddHBand="0" w:evenHBand="0" w:firstRowFirstColumn="0" w:firstRowLastColumn="0" w:lastRowFirstColumn="0" w:lastRowLastColumn="0"/>
          <w:tblHeader/>
        </w:trPr>
        <w:tc>
          <w:tcPr>
            <w:tcW w:w="0" w:type="auto"/>
          </w:tcPr>
          <w:p w14:paraId="5BCB7ED6" w14:textId="77777777" w:rsidR="00901B2C" w:rsidRDefault="00056191">
            <w:pPr>
              <w:pStyle w:val="Compact"/>
            </w:pPr>
            <w:r>
              <w:t>Brique</w:t>
            </w:r>
          </w:p>
        </w:tc>
        <w:tc>
          <w:tcPr>
            <w:tcW w:w="0" w:type="auto"/>
          </w:tcPr>
          <w:p w14:paraId="28CDD181" w14:textId="77777777" w:rsidR="00901B2C" w:rsidRDefault="00056191">
            <w:pPr>
              <w:pStyle w:val="Compact"/>
            </w:pPr>
            <w:r>
              <w:t>Rôle</w:t>
            </w:r>
          </w:p>
        </w:tc>
        <w:tc>
          <w:tcPr>
            <w:tcW w:w="0" w:type="auto"/>
          </w:tcPr>
          <w:p w14:paraId="7AEAFBB4" w14:textId="77777777" w:rsidR="00901B2C" w:rsidRDefault="00056191">
            <w:pPr>
              <w:pStyle w:val="Compact"/>
            </w:pPr>
            <w:r>
              <w:t>Pourquoi elle compte</w:t>
            </w:r>
          </w:p>
        </w:tc>
        <w:tc>
          <w:tcPr>
            <w:tcW w:w="0" w:type="auto"/>
          </w:tcPr>
          <w:p w14:paraId="23C73149" w14:textId="77777777" w:rsidR="00901B2C" w:rsidRDefault="00056191">
            <w:pPr>
              <w:pStyle w:val="Compact"/>
            </w:pPr>
            <w:r>
              <w:t>Priorité</w:t>
            </w:r>
          </w:p>
        </w:tc>
        <w:tc>
          <w:tcPr>
            <w:tcW w:w="0" w:type="auto"/>
          </w:tcPr>
          <w:p w14:paraId="2BBA91F7" w14:textId="77777777" w:rsidR="00901B2C" w:rsidRDefault="00056191">
            <w:pPr>
              <w:pStyle w:val="Compact"/>
            </w:pPr>
            <w:r>
              <w:t>Acheter ou construire</w:t>
            </w:r>
          </w:p>
        </w:tc>
        <w:tc>
          <w:tcPr>
            <w:tcW w:w="0" w:type="auto"/>
          </w:tcPr>
          <w:p w14:paraId="2F7E7F68" w14:textId="77777777" w:rsidR="00901B2C" w:rsidRDefault="00056191">
            <w:pPr>
              <w:pStyle w:val="Compact"/>
            </w:pPr>
            <w:r>
              <w:t>Utilisateurs principaux</w:t>
            </w:r>
          </w:p>
        </w:tc>
      </w:tr>
      <w:tr w:rsidR="00901B2C" w14:paraId="3E3B5A5E" w14:textId="77777777">
        <w:tc>
          <w:tcPr>
            <w:tcW w:w="0" w:type="auto"/>
          </w:tcPr>
          <w:p w14:paraId="1A6F81CD" w14:textId="77777777" w:rsidR="00901B2C" w:rsidRDefault="00056191">
            <w:pPr>
              <w:pStyle w:val="Compact"/>
            </w:pPr>
            <w:r>
              <w:t>Référentiel entreprise</w:t>
            </w:r>
            <w:r>
              <w:t>s</w:t>
            </w:r>
          </w:p>
        </w:tc>
        <w:tc>
          <w:tcPr>
            <w:tcW w:w="0" w:type="auto"/>
          </w:tcPr>
          <w:p w14:paraId="42D3523D" w14:textId="77777777" w:rsidR="00901B2C" w:rsidRDefault="00056191">
            <w:pPr>
              <w:pStyle w:val="Compact"/>
            </w:pPr>
            <w:r>
              <w:t>Base maître des PME</w:t>
            </w:r>
          </w:p>
        </w:tc>
        <w:tc>
          <w:tcPr>
            <w:tcW w:w="0" w:type="auto"/>
          </w:tcPr>
          <w:p w14:paraId="4006D3EA" w14:textId="77777777" w:rsidR="00901B2C" w:rsidRDefault="00056191">
            <w:pPr>
              <w:pStyle w:val="Compact"/>
            </w:pPr>
            <w:r>
              <w:t>Actif stratégique du cabinet</w:t>
            </w:r>
          </w:p>
        </w:tc>
        <w:tc>
          <w:tcPr>
            <w:tcW w:w="0" w:type="auto"/>
          </w:tcPr>
          <w:p w14:paraId="60FC851B" w14:textId="77777777" w:rsidR="00901B2C" w:rsidRDefault="00056191">
            <w:pPr>
              <w:pStyle w:val="Compact"/>
            </w:pPr>
            <w:r>
              <w:t>MVP</w:t>
            </w:r>
          </w:p>
        </w:tc>
        <w:tc>
          <w:tcPr>
            <w:tcW w:w="0" w:type="auto"/>
          </w:tcPr>
          <w:p w14:paraId="528B597D" w14:textId="77777777" w:rsidR="00901B2C" w:rsidRDefault="00056191">
            <w:pPr>
              <w:pStyle w:val="Compact"/>
            </w:pPr>
            <w:r>
              <w:t>Construire</w:t>
            </w:r>
          </w:p>
        </w:tc>
        <w:tc>
          <w:tcPr>
            <w:tcW w:w="0" w:type="auto"/>
          </w:tcPr>
          <w:p w14:paraId="46F4F3D7" w14:textId="77777777" w:rsidR="00901B2C" w:rsidRDefault="00056191">
            <w:pPr>
              <w:pStyle w:val="Compact"/>
            </w:pPr>
            <w:r>
              <w:t>Cabinet</w:t>
            </w:r>
          </w:p>
        </w:tc>
      </w:tr>
      <w:tr w:rsidR="00901B2C" w14:paraId="126AFCCD" w14:textId="77777777">
        <w:tc>
          <w:tcPr>
            <w:tcW w:w="0" w:type="auto"/>
          </w:tcPr>
          <w:p w14:paraId="0606AB22" w14:textId="77777777" w:rsidR="00901B2C" w:rsidRDefault="00056191">
            <w:pPr>
              <w:pStyle w:val="Compact"/>
            </w:pPr>
            <w:r>
              <w:t>Référentiel investisseurs</w:t>
            </w:r>
          </w:p>
        </w:tc>
        <w:tc>
          <w:tcPr>
            <w:tcW w:w="0" w:type="auto"/>
          </w:tcPr>
          <w:p w14:paraId="48DFE8CE" w14:textId="77777777" w:rsidR="00901B2C" w:rsidRDefault="00056191">
            <w:pPr>
              <w:pStyle w:val="Compact"/>
            </w:pPr>
            <w:r>
              <w:t>Base maître des PE/banques/DFI</w:t>
            </w:r>
          </w:p>
        </w:tc>
        <w:tc>
          <w:tcPr>
            <w:tcW w:w="0" w:type="auto"/>
          </w:tcPr>
          <w:p w14:paraId="50F2FC2E" w14:textId="77777777" w:rsidR="00901B2C" w:rsidRDefault="00056191">
            <w:pPr>
              <w:pStyle w:val="Compact"/>
            </w:pPr>
            <w:r>
              <w:t>Condition du matching</w:t>
            </w:r>
          </w:p>
        </w:tc>
        <w:tc>
          <w:tcPr>
            <w:tcW w:w="0" w:type="auto"/>
          </w:tcPr>
          <w:p w14:paraId="14C14648" w14:textId="77777777" w:rsidR="00901B2C" w:rsidRDefault="00056191">
            <w:pPr>
              <w:pStyle w:val="Compact"/>
            </w:pPr>
            <w:r>
              <w:t>MVP</w:t>
            </w:r>
          </w:p>
        </w:tc>
        <w:tc>
          <w:tcPr>
            <w:tcW w:w="0" w:type="auto"/>
          </w:tcPr>
          <w:p w14:paraId="55B1FC44" w14:textId="77777777" w:rsidR="00901B2C" w:rsidRDefault="00056191">
            <w:pPr>
              <w:pStyle w:val="Compact"/>
            </w:pPr>
            <w:r>
              <w:t>Construire</w:t>
            </w:r>
          </w:p>
        </w:tc>
        <w:tc>
          <w:tcPr>
            <w:tcW w:w="0" w:type="auto"/>
          </w:tcPr>
          <w:p w14:paraId="28279AD1" w14:textId="77777777" w:rsidR="00901B2C" w:rsidRDefault="00056191">
            <w:pPr>
              <w:pStyle w:val="Compact"/>
            </w:pPr>
            <w:r>
              <w:t>Cabinet</w:t>
            </w:r>
          </w:p>
        </w:tc>
      </w:tr>
      <w:tr w:rsidR="00901B2C" w14:paraId="1C3E4E36" w14:textId="77777777">
        <w:tc>
          <w:tcPr>
            <w:tcW w:w="0" w:type="auto"/>
          </w:tcPr>
          <w:p w14:paraId="2D70F2C8" w14:textId="77777777" w:rsidR="00901B2C" w:rsidRDefault="00056191">
            <w:pPr>
              <w:pStyle w:val="Compact"/>
            </w:pPr>
            <w:r>
              <w:t>Onboarding entrepreneur</w:t>
            </w:r>
          </w:p>
        </w:tc>
        <w:tc>
          <w:tcPr>
            <w:tcW w:w="0" w:type="auto"/>
          </w:tcPr>
          <w:p w14:paraId="611E9FDF" w14:textId="77777777" w:rsidR="00901B2C" w:rsidRDefault="00056191">
            <w:pPr>
              <w:pStyle w:val="Compact"/>
            </w:pPr>
            <w:r>
              <w:t>Capture et qualification</w:t>
            </w:r>
          </w:p>
        </w:tc>
        <w:tc>
          <w:tcPr>
            <w:tcW w:w="0" w:type="auto"/>
          </w:tcPr>
          <w:p w14:paraId="6EE81735" w14:textId="77777777" w:rsidR="00901B2C" w:rsidRDefault="00056191">
            <w:pPr>
              <w:pStyle w:val="Compact"/>
            </w:pPr>
            <w:r>
              <w:t>Produit d’appel</w:t>
            </w:r>
          </w:p>
        </w:tc>
        <w:tc>
          <w:tcPr>
            <w:tcW w:w="0" w:type="auto"/>
          </w:tcPr>
          <w:p w14:paraId="58CF4D5B" w14:textId="77777777" w:rsidR="00901B2C" w:rsidRDefault="00056191">
            <w:pPr>
              <w:pStyle w:val="Compact"/>
            </w:pPr>
            <w:r>
              <w:t>MVP</w:t>
            </w:r>
          </w:p>
        </w:tc>
        <w:tc>
          <w:tcPr>
            <w:tcW w:w="0" w:type="auto"/>
          </w:tcPr>
          <w:p w14:paraId="23D774B3" w14:textId="77777777" w:rsidR="00901B2C" w:rsidRDefault="00056191">
            <w:pPr>
              <w:pStyle w:val="Compact"/>
            </w:pPr>
            <w:r>
              <w:t>Construire</w:t>
            </w:r>
          </w:p>
        </w:tc>
        <w:tc>
          <w:tcPr>
            <w:tcW w:w="0" w:type="auto"/>
          </w:tcPr>
          <w:p w14:paraId="1BA4CC4C" w14:textId="77777777" w:rsidR="00901B2C" w:rsidRDefault="00056191">
            <w:pPr>
              <w:pStyle w:val="Compact"/>
            </w:pPr>
            <w:r>
              <w:t>Entrepreneurs</w:t>
            </w:r>
          </w:p>
        </w:tc>
      </w:tr>
      <w:tr w:rsidR="00901B2C" w14:paraId="11F8AE61" w14:textId="77777777">
        <w:tc>
          <w:tcPr>
            <w:tcW w:w="0" w:type="auto"/>
          </w:tcPr>
          <w:p w14:paraId="1D4B35DA" w14:textId="77777777" w:rsidR="00901B2C" w:rsidRDefault="00056191">
            <w:pPr>
              <w:pStyle w:val="Compact"/>
            </w:pPr>
            <w:r>
              <w:t>Financing readiness score</w:t>
            </w:r>
          </w:p>
        </w:tc>
        <w:tc>
          <w:tcPr>
            <w:tcW w:w="0" w:type="auto"/>
          </w:tcPr>
          <w:p w14:paraId="695DA391" w14:textId="77777777" w:rsidR="00901B2C" w:rsidRDefault="00056191">
            <w:pPr>
              <w:pStyle w:val="Compact"/>
            </w:pPr>
            <w:r>
              <w:t>Mesure de maturité</w:t>
            </w:r>
          </w:p>
        </w:tc>
        <w:tc>
          <w:tcPr>
            <w:tcW w:w="0" w:type="auto"/>
          </w:tcPr>
          <w:p w14:paraId="4858D46E" w14:textId="77777777" w:rsidR="00901B2C" w:rsidRDefault="00056191">
            <w:pPr>
              <w:pStyle w:val="Compact"/>
            </w:pPr>
            <w:r>
              <w:t>Cœur de la promesse amont</w:t>
            </w:r>
          </w:p>
        </w:tc>
        <w:tc>
          <w:tcPr>
            <w:tcW w:w="0" w:type="auto"/>
          </w:tcPr>
          <w:p w14:paraId="12DA693D" w14:textId="77777777" w:rsidR="00901B2C" w:rsidRDefault="00056191">
            <w:pPr>
              <w:pStyle w:val="Compact"/>
            </w:pPr>
            <w:r>
              <w:t>MVP</w:t>
            </w:r>
          </w:p>
        </w:tc>
        <w:tc>
          <w:tcPr>
            <w:tcW w:w="0" w:type="auto"/>
          </w:tcPr>
          <w:p w14:paraId="60040480" w14:textId="77777777" w:rsidR="00901B2C" w:rsidRDefault="00056191">
            <w:pPr>
              <w:pStyle w:val="Compact"/>
            </w:pPr>
            <w:r>
              <w:t>Construire</w:t>
            </w:r>
          </w:p>
        </w:tc>
        <w:tc>
          <w:tcPr>
            <w:tcW w:w="0" w:type="auto"/>
          </w:tcPr>
          <w:p w14:paraId="152D9D4F" w14:textId="77777777" w:rsidR="00901B2C" w:rsidRDefault="00056191">
            <w:pPr>
              <w:pStyle w:val="Compact"/>
            </w:pPr>
            <w:r>
              <w:t>Entrepreneurs, cabinet</w:t>
            </w:r>
          </w:p>
        </w:tc>
      </w:tr>
      <w:tr w:rsidR="00901B2C" w14:paraId="200629F8" w14:textId="77777777">
        <w:tc>
          <w:tcPr>
            <w:tcW w:w="0" w:type="auto"/>
          </w:tcPr>
          <w:p w14:paraId="0C466814" w14:textId="77777777" w:rsidR="00901B2C" w:rsidRDefault="00056191">
            <w:pPr>
              <w:pStyle w:val="Compact"/>
            </w:pPr>
            <w:r>
              <w:t>Moteur de matching</w:t>
            </w:r>
          </w:p>
        </w:tc>
        <w:tc>
          <w:tcPr>
            <w:tcW w:w="0" w:type="auto"/>
          </w:tcPr>
          <w:p w14:paraId="04137A85" w14:textId="77777777" w:rsidR="00901B2C" w:rsidRDefault="00056191">
            <w:pPr>
              <w:pStyle w:val="Compact"/>
            </w:pPr>
            <w:r>
              <w:t>Appariement entreprise-investisseur</w:t>
            </w:r>
          </w:p>
        </w:tc>
        <w:tc>
          <w:tcPr>
            <w:tcW w:w="0" w:type="auto"/>
          </w:tcPr>
          <w:p w14:paraId="7A4FFD14" w14:textId="77777777" w:rsidR="00901B2C" w:rsidRDefault="00056191">
            <w:pPr>
              <w:pStyle w:val="Compact"/>
            </w:pPr>
            <w:r>
              <w:t>Cœur de la valeur côté PE</w:t>
            </w:r>
          </w:p>
        </w:tc>
        <w:tc>
          <w:tcPr>
            <w:tcW w:w="0" w:type="auto"/>
          </w:tcPr>
          <w:p w14:paraId="69ACF461" w14:textId="77777777" w:rsidR="00901B2C" w:rsidRDefault="00056191">
            <w:pPr>
              <w:pStyle w:val="Compact"/>
            </w:pPr>
            <w:r>
              <w:t>MVP</w:t>
            </w:r>
          </w:p>
        </w:tc>
        <w:tc>
          <w:tcPr>
            <w:tcW w:w="0" w:type="auto"/>
          </w:tcPr>
          <w:p w14:paraId="2B2820DB" w14:textId="77777777" w:rsidR="00901B2C" w:rsidRDefault="00056191">
            <w:pPr>
              <w:pStyle w:val="Compact"/>
            </w:pPr>
            <w:r>
              <w:t>Construire</w:t>
            </w:r>
          </w:p>
        </w:tc>
        <w:tc>
          <w:tcPr>
            <w:tcW w:w="0" w:type="auto"/>
          </w:tcPr>
          <w:p w14:paraId="3D812F73" w14:textId="77777777" w:rsidR="00901B2C" w:rsidRDefault="00056191">
            <w:pPr>
              <w:pStyle w:val="Compact"/>
            </w:pPr>
            <w:r>
              <w:t>Cabinet, investisseurs</w:t>
            </w:r>
          </w:p>
        </w:tc>
      </w:tr>
      <w:tr w:rsidR="00901B2C" w14:paraId="45146CFC" w14:textId="77777777">
        <w:tc>
          <w:tcPr>
            <w:tcW w:w="0" w:type="auto"/>
          </w:tcPr>
          <w:p w14:paraId="2784C4BF" w14:textId="77777777" w:rsidR="00901B2C" w:rsidRDefault="00056191">
            <w:pPr>
              <w:pStyle w:val="Compact"/>
            </w:pPr>
            <w:r>
              <w:t>Générateur de teaser</w:t>
            </w:r>
          </w:p>
        </w:tc>
        <w:tc>
          <w:tcPr>
            <w:tcW w:w="0" w:type="auto"/>
          </w:tcPr>
          <w:p w14:paraId="2B7C88F6" w14:textId="77777777" w:rsidR="00901B2C" w:rsidRDefault="00056191">
            <w:pPr>
              <w:pStyle w:val="Compact"/>
            </w:pPr>
            <w:r>
              <w:t>Standardisation investisseur</w:t>
            </w:r>
          </w:p>
        </w:tc>
        <w:tc>
          <w:tcPr>
            <w:tcW w:w="0" w:type="auto"/>
          </w:tcPr>
          <w:p w14:paraId="639F1A56" w14:textId="77777777" w:rsidR="00901B2C" w:rsidRDefault="00056191">
            <w:pPr>
              <w:pStyle w:val="Compact"/>
            </w:pPr>
            <w:r>
              <w:t>Réduit le temps de préparation</w:t>
            </w:r>
          </w:p>
        </w:tc>
        <w:tc>
          <w:tcPr>
            <w:tcW w:w="0" w:type="auto"/>
          </w:tcPr>
          <w:p w14:paraId="69C22E54" w14:textId="77777777" w:rsidR="00901B2C" w:rsidRDefault="00056191">
            <w:pPr>
              <w:pStyle w:val="Compact"/>
            </w:pPr>
            <w:r>
              <w:t>MVP</w:t>
            </w:r>
          </w:p>
        </w:tc>
        <w:tc>
          <w:tcPr>
            <w:tcW w:w="0" w:type="auto"/>
          </w:tcPr>
          <w:p w14:paraId="59784B98" w14:textId="77777777" w:rsidR="00901B2C" w:rsidRDefault="00056191">
            <w:pPr>
              <w:pStyle w:val="Compact"/>
            </w:pPr>
            <w:r>
              <w:t>Construire</w:t>
            </w:r>
          </w:p>
        </w:tc>
        <w:tc>
          <w:tcPr>
            <w:tcW w:w="0" w:type="auto"/>
          </w:tcPr>
          <w:p w14:paraId="76F8E274" w14:textId="77777777" w:rsidR="00901B2C" w:rsidRDefault="00056191">
            <w:pPr>
              <w:pStyle w:val="Compact"/>
            </w:pPr>
            <w:r>
              <w:t>Cabinet</w:t>
            </w:r>
          </w:p>
        </w:tc>
      </w:tr>
      <w:tr w:rsidR="00901B2C" w14:paraId="759C6F91" w14:textId="77777777">
        <w:tc>
          <w:tcPr>
            <w:tcW w:w="0" w:type="auto"/>
          </w:tcPr>
          <w:p w14:paraId="3BA5C84E" w14:textId="77777777" w:rsidR="00901B2C" w:rsidRDefault="00056191">
            <w:pPr>
              <w:pStyle w:val="Compact"/>
            </w:pPr>
            <w:r>
              <w:t>Module de recommandations</w:t>
            </w:r>
          </w:p>
        </w:tc>
        <w:tc>
          <w:tcPr>
            <w:tcW w:w="0" w:type="auto"/>
          </w:tcPr>
          <w:p w14:paraId="62021A1F" w14:textId="77777777" w:rsidR="00901B2C" w:rsidRDefault="00056191">
            <w:pPr>
              <w:pStyle w:val="Compact"/>
            </w:pPr>
            <w:r>
              <w:t>Vente de services adaptés</w:t>
            </w:r>
          </w:p>
        </w:tc>
        <w:tc>
          <w:tcPr>
            <w:tcW w:w="0" w:type="auto"/>
          </w:tcPr>
          <w:p w14:paraId="05B10389" w14:textId="77777777" w:rsidR="00901B2C" w:rsidRDefault="00056191">
            <w:pPr>
              <w:pStyle w:val="Compact"/>
            </w:pPr>
            <w:r>
              <w:t>Moteur de conversion commerciale</w:t>
            </w:r>
          </w:p>
        </w:tc>
        <w:tc>
          <w:tcPr>
            <w:tcW w:w="0" w:type="auto"/>
          </w:tcPr>
          <w:p w14:paraId="72E1644D" w14:textId="77777777" w:rsidR="00901B2C" w:rsidRDefault="00056191">
            <w:pPr>
              <w:pStyle w:val="Compact"/>
            </w:pPr>
            <w:r>
              <w:t>M</w:t>
            </w:r>
            <w:r>
              <w:t>VP</w:t>
            </w:r>
          </w:p>
        </w:tc>
        <w:tc>
          <w:tcPr>
            <w:tcW w:w="0" w:type="auto"/>
          </w:tcPr>
          <w:p w14:paraId="4BD1CD64" w14:textId="77777777" w:rsidR="00901B2C" w:rsidRDefault="00056191">
            <w:pPr>
              <w:pStyle w:val="Compact"/>
            </w:pPr>
            <w:r>
              <w:t>Construire</w:t>
            </w:r>
          </w:p>
        </w:tc>
        <w:tc>
          <w:tcPr>
            <w:tcW w:w="0" w:type="auto"/>
          </w:tcPr>
          <w:p w14:paraId="4AC15310" w14:textId="77777777" w:rsidR="00901B2C" w:rsidRDefault="00056191">
            <w:pPr>
              <w:pStyle w:val="Compact"/>
            </w:pPr>
            <w:r>
              <w:t>Entrepreneur, cabinet</w:t>
            </w:r>
          </w:p>
        </w:tc>
      </w:tr>
      <w:tr w:rsidR="00901B2C" w14:paraId="02A1C6F1" w14:textId="77777777">
        <w:tc>
          <w:tcPr>
            <w:tcW w:w="0" w:type="auto"/>
          </w:tcPr>
          <w:p w14:paraId="0D70F6F4" w14:textId="77777777" w:rsidR="00901B2C" w:rsidRDefault="00056191">
            <w:pPr>
              <w:pStyle w:val="Compact"/>
            </w:pPr>
            <w:r>
              <w:t>CRM cabinet</w:t>
            </w:r>
          </w:p>
        </w:tc>
        <w:tc>
          <w:tcPr>
            <w:tcW w:w="0" w:type="auto"/>
          </w:tcPr>
          <w:p w14:paraId="41BEAA0F" w14:textId="77777777" w:rsidR="00901B2C" w:rsidRDefault="00056191">
            <w:pPr>
              <w:pStyle w:val="Compact"/>
            </w:pPr>
            <w:r>
              <w:t>Pilotage des prospects et mandats</w:t>
            </w:r>
          </w:p>
        </w:tc>
        <w:tc>
          <w:tcPr>
            <w:tcW w:w="0" w:type="auto"/>
          </w:tcPr>
          <w:p w14:paraId="4A8EDCDD" w14:textId="77777777" w:rsidR="00901B2C" w:rsidRDefault="00056191">
            <w:pPr>
              <w:pStyle w:val="Compact"/>
            </w:pPr>
            <w:r>
              <w:t>Industrialise le conseil</w:t>
            </w:r>
          </w:p>
        </w:tc>
        <w:tc>
          <w:tcPr>
            <w:tcW w:w="0" w:type="auto"/>
          </w:tcPr>
          <w:p w14:paraId="65BBD4D6" w14:textId="77777777" w:rsidR="00901B2C" w:rsidRDefault="00056191">
            <w:pPr>
              <w:pStyle w:val="Compact"/>
            </w:pPr>
            <w:r>
              <w:t>MVP</w:t>
            </w:r>
          </w:p>
        </w:tc>
        <w:tc>
          <w:tcPr>
            <w:tcW w:w="0" w:type="auto"/>
          </w:tcPr>
          <w:p w14:paraId="71E10BAD" w14:textId="77777777" w:rsidR="00901B2C" w:rsidRDefault="00056191">
            <w:pPr>
              <w:pStyle w:val="Compact"/>
            </w:pPr>
            <w:r>
              <w:t>Acheter léger ou construire</w:t>
            </w:r>
          </w:p>
        </w:tc>
        <w:tc>
          <w:tcPr>
            <w:tcW w:w="0" w:type="auto"/>
          </w:tcPr>
          <w:p w14:paraId="6189E84D" w14:textId="77777777" w:rsidR="00901B2C" w:rsidRDefault="00056191">
            <w:pPr>
              <w:pStyle w:val="Compact"/>
            </w:pPr>
            <w:r>
              <w:t>Cabinet</w:t>
            </w:r>
          </w:p>
        </w:tc>
      </w:tr>
      <w:tr w:rsidR="00901B2C" w14:paraId="4791921E" w14:textId="77777777">
        <w:tc>
          <w:tcPr>
            <w:tcW w:w="0" w:type="auto"/>
          </w:tcPr>
          <w:p w14:paraId="1359AD6C" w14:textId="77777777" w:rsidR="00901B2C" w:rsidRDefault="00056191">
            <w:pPr>
              <w:pStyle w:val="Compact"/>
            </w:pPr>
            <w:r>
              <w:t>Data room progressive</w:t>
            </w:r>
          </w:p>
        </w:tc>
        <w:tc>
          <w:tcPr>
            <w:tcW w:w="0" w:type="auto"/>
          </w:tcPr>
          <w:p w14:paraId="725EBF9B" w14:textId="77777777" w:rsidR="00901B2C" w:rsidRDefault="00056191">
            <w:pPr>
              <w:pStyle w:val="Compact"/>
            </w:pPr>
            <w:r>
              <w:t>Partage documentaire sécurisé</w:t>
            </w:r>
          </w:p>
        </w:tc>
        <w:tc>
          <w:tcPr>
            <w:tcW w:w="0" w:type="auto"/>
          </w:tcPr>
          <w:p w14:paraId="37E99711" w14:textId="77777777" w:rsidR="00901B2C" w:rsidRDefault="00056191">
            <w:pPr>
              <w:pStyle w:val="Compact"/>
            </w:pPr>
            <w:r>
              <w:t>Passage vers la diligence</w:t>
            </w:r>
          </w:p>
        </w:tc>
        <w:tc>
          <w:tcPr>
            <w:tcW w:w="0" w:type="auto"/>
          </w:tcPr>
          <w:p w14:paraId="17554776" w14:textId="77777777" w:rsidR="00901B2C" w:rsidRDefault="00056191">
            <w:pPr>
              <w:pStyle w:val="Compact"/>
            </w:pPr>
            <w:r>
              <w:t>V1</w:t>
            </w:r>
          </w:p>
        </w:tc>
        <w:tc>
          <w:tcPr>
            <w:tcW w:w="0" w:type="auto"/>
          </w:tcPr>
          <w:p w14:paraId="3DA33D01" w14:textId="77777777" w:rsidR="00901B2C" w:rsidRDefault="00056191">
            <w:pPr>
              <w:pStyle w:val="Compact"/>
            </w:pPr>
            <w:r>
              <w:t>Acheter puis intégrer</w:t>
            </w:r>
          </w:p>
        </w:tc>
        <w:tc>
          <w:tcPr>
            <w:tcW w:w="0" w:type="auto"/>
          </w:tcPr>
          <w:p w14:paraId="3A681F9D" w14:textId="77777777" w:rsidR="00901B2C" w:rsidRDefault="00056191">
            <w:pPr>
              <w:pStyle w:val="Compact"/>
            </w:pPr>
            <w:r>
              <w:t>Entrepreneurs, investisseurs</w:t>
            </w:r>
          </w:p>
        </w:tc>
      </w:tr>
      <w:tr w:rsidR="00901B2C" w14:paraId="7CF487DF" w14:textId="77777777">
        <w:tc>
          <w:tcPr>
            <w:tcW w:w="0" w:type="auto"/>
          </w:tcPr>
          <w:p w14:paraId="369F58B3" w14:textId="77777777" w:rsidR="00901B2C" w:rsidRDefault="00056191">
            <w:pPr>
              <w:pStyle w:val="Compact"/>
            </w:pPr>
            <w:r>
              <w:t>NDA workflow</w:t>
            </w:r>
          </w:p>
        </w:tc>
        <w:tc>
          <w:tcPr>
            <w:tcW w:w="0" w:type="auto"/>
          </w:tcPr>
          <w:p w14:paraId="1A1A8FAA" w14:textId="77777777" w:rsidR="00901B2C" w:rsidRDefault="00056191">
            <w:pPr>
              <w:pStyle w:val="Compact"/>
            </w:pPr>
            <w:r>
              <w:t>Contrôle juridique des accès</w:t>
            </w:r>
          </w:p>
        </w:tc>
        <w:tc>
          <w:tcPr>
            <w:tcW w:w="0" w:type="auto"/>
          </w:tcPr>
          <w:p w14:paraId="08062EEC" w14:textId="77777777" w:rsidR="00901B2C" w:rsidRDefault="00056191">
            <w:pPr>
              <w:pStyle w:val="Compact"/>
            </w:pPr>
            <w:r>
              <w:t>Réduit les risques de fuite</w:t>
            </w:r>
          </w:p>
        </w:tc>
        <w:tc>
          <w:tcPr>
            <w:tcW w:w="0" w:type="auto"/>
          </w:tcPr>
          <w:p w14:paraId="7042D61E" w14:textId="77777777" w:rsidR="00901B2C" w:rsidRDefault="00056191">
            <w:pPr>
              <w:pStyle w:val="Compact"/>
            </w:pPr>
            <w:r>
              <w:t>V1</w:t>
            </w:r>
          </w:p>
        </w:tc>
        <w:tc>
          <w:tcPr>
            <w:tcW w:w="0" w:type="auto"/>
          </w:tcPr>
          <w:p w14:paraId="4F1D3A8D" w14:textId="77777777" w:rsidR="00901B2C" w:rsidRDefault="00056191">
            <w:pPr>
              <w:pStyle w:val="Compact"/>
            </w:pPr>
            <w:r>
              <w:t>Acheter/paramétrer</w:t>
            </w:r>
          </w:p>
        </w:tc>
        <w:tc>
          <w:tcPr>
            <w:tcW w:w="0" w:type="auto"/>
          </w:tcPr>
          <w:p w14:paraId="2F5C2497" w14:textId="77777777" w:rsidR="00901B2C" w:rsidRDefault="00056191">
            <w:pPr>
              <w:pStyle w:val="Compact"/>
            </w:pPr>
            <w:r>
              <w:t>Cabinet</w:t>
            </w:r>
          </w:p>
        </w:tc>
      </w:tr>
      <w:tr w:rsidR="00901B2C" w14:paraId="06DC9AEA" w14:textId="77777777">
        <w:tc>
          <w:tcPr>
            <w:tcW w:w="0" w:type="auto"/>
          </w:tcPr>
          <w:p w14:paraId="4C0D801B" w14:textId="77777777" w:rsidR="00901B2C" w:rsidRDefault="00056191">
            <w:pPr>
              <w:pStyle w:val="Compact"/>
            </w:pPr>
            <w:r>
              <w:t>KYC/KYB/AML</w:t>
            </w:r>
          </w:p>
        </w:tc>
        <w:tc>
          <w:tcPr>
            <w:tcW w:w="0" w:type="auto"/>
          </w:tcPr>
          <w:p w14:paraId="3CF85CA8" w14:textId="77777777" w:rsidR="00901B2C" w:rsidRDefault="00056191">
            <w:pPr>
              <w:pStyle w:val="Compact"/>
            </w:pPr>
            <w:r>
              <w:t xml:space="preserve">Vérification identité et </w:t>
            </w:r>
            <w:r>
              <w:lastRenderedPageBreak/>
              <w:t>risques</w:t>
            </w:r>
          </w:p>
        </w:tc>
        <w:tc>
          <w:tcPr>
            <w:tcW w:w="0" w:type="auto"/>
          </w:tcPr>
          <w:p w14:paraId="1F07727F" w14:textId="77777777" w:rsidR="00901B2C" w:rsidRDefault="00056191">
            <w:pPr>
              <w:pStyle w:val="Compact"/>
            </w:pPr>
            <w:r>
              <w:lastRenderedPageBreak/>
              <w:t>Exigence pour PE/DFI/banqu</w:t>
            </w:r>
            <w:r>
              <w:lastRenderedPageBreak/>
              <w:t>es</w:t>
            </w:r>
          </w:p>
        </w:tc>
        <w:tc>
          <w:tcPr>
            <w:tcW w:w="0" w:type="auto"/>
          </w:tcPr>
          <w:p w14:paraId="7BC04754" w14:textId="77777777" w:rsidR="00901B2C" w:rsidRDefault="00056191">
            <w:pPr>
              <w:pStyle w:val="Compact"/>
            </w:pPr>
            <w:r>
              <w:lastRenderedPageBreak/>
              <w:t>V1</w:t>
            </w:r>
          </w:p>
        </w:tc>
        <w:tc>
          <w:tcPr>
            <w:tcW w:w="0" w:type="auto"/>
          </w:tcPr>
          <w:p w14:paraId="1A7D4F83" w14:textId="77777777" w:rsidR="00901B2C" w:rsidRDefault="00056191">
            <w:pPr>
              <w:pStyle w:val="Compact"/>
            </w:pPr>
            <w:r>
              <w:t>Acheter</w:t>
            </w:r>
          </w:p>
        </w:tc>
        <w:tc>
          <w:tcPr>
            <w:tcW w:w="0" w:type="auto"/>
          </w:tcPr>
          <w:p w14:paraId="546020F1" w14:textId="77777777" w:rsidR="00901B2C" w:rsidRDefault="00056191">
            <w:pPr>
              <w:pStyle w:val="Compact"/>
            </w:pPr>
            <w:r>
              <w:t>Cabinet, compliance</w:t>
            </w:r>
          </w:p>
        </w:tc>
      </w:tr>
      <w:tr w:rsidR="00901B2C" w14:paraId="7AA133FE" w14:textId="77777777">
        <w:tc>
          <w:tcPr>
            <w:tcW w:w="0" w:type="auto"/>
          </w:tcPr>
          <w:p w14:paraId="582FC2EC" w14:textId="77777777" w:rsidR="00901B2C" w:rsidRDefault="00056191">
            <w:pPr>
              <w:pStyle w:val="Compact"/>
            </w:pPr>
            <w:r>
              <w:t>Workflow deal execution</w:t>
            </w:r>
          </w:p>
        </w:tc>
        <w:tc>
          <w:tcPr>
            <w:tcW w:w="0" w:type="auto"/>
          </w:tcPr>
          <w:p w14:paraId="3B55AF40" w14:textId="77777777" w:rsidR="00901B2C" w:rsidRDefault="00056191">
            <w:pPr>
              <w:pStyle w:val="Compact"/>
            </w:pPr>
            <w:r>
              <w:t>Jalons, tâches, next steps</w:t>
            </w:r>
          </w:p>
        </w:tc>
        <w:tc>
          <w:tcPr>
            <w:tcW w:w="0" w:type="auto"/>
          </w:tcPr>
          <w:p w14:paraId="61310A15" w14:textId="77777777" w:rsidR="00901B2C" w:rsidRDefault="00056191">
            <w:pPr>
              <w:pStyle w:val="Compact"/>
            </w:pPr>
            <w:r>
              <w:t>Fait gagner du temps jusqu’au closing</w:t>
            </w:r>
          </w:p>
        </w:tc>
        <w:tc>
          <w:tcPr>
            <w:tcW w:w="0" w:type="auto"/>
          </w:tcPr>
          <w:p w14:paraId="315CADAF" w14:textId="77777777" w:rsidR="00901B2C" w:rsidRDefault="00056191">
            <w:pPr>
              <w:pStyle w:val="Compact"/>
            </w:pPr>
            <w:r>
              <w:t>V1</w:t>
            </w:r>
          </w:p>
        </w:tc>
        <w:tc>
          <w:tcPr>
            <w:tcW w:w="0" w:type="auto"/>
          </w:tcPr>
          <w:p w14:paraId="4B7FD52F" w14:textId="77777777" w:rsidR="00901B2C" w:rsidRDefault="00056191">
            <w:pPr>
              <w:pStyle w:val="Compact"/>
            </w:pPr>
            <w:r>
              <w:t>Construire</w:t>
            </w:r>
          </w:p>
        </w:tc>
        <w:tc>
          <w:tcPr>
            <w:tcW w:w="0" w:type="auto"/>
          </w:tcPr>
          <w:p w14:paraId="02225846" w14:textId="77777777" w:rsidR="00901B2C" w:rsidRDefault="00056191">
            <w:pPr>
              <w:pStyle w:val="Compact"/>
            </w:pPr>
            <w:r>
              <w:t>Cabinet</w:t>
            </w:r>
          </w:p>
        </w:tc>
      </w:tr>
      <w:tr w:rsidR="00901B2C" w14:paraId="40E0983E" w14:textId="77777777">
        <w:tc>
          <w:tcPr>
            <w:tcW w:w="0" w:type="auto"/>
          </w:tcPr>
          <w:p w14:paraId="15548AD1" w14:textId="77777777" w:rsidR="00901B2C" w:rsidRDefault="00056191">
            <w:pPr>
              <w:pStyle w:val="Compact"/>
            </w:pPr>
            <w:r>
              <w:t>Messagerie &amp; Q&amp;A</w:t>
            </w:r>
          </w:p>
        </w:tc>
        <w:tc>
          <w:tcPr>
            <w:tcW w:w="0" w:type="auto"/>
          </w:tcPr>
          <w:p w14:paraId="675E41ED" w14:textId="77777777" w:rsidR="00901B2C" w:rsidRDefault="00056191">
            <w:pPr>
              <w:pStyle w:val="Compact"/>
            </w:pPr>
            <w:r>
              <w:t>Traçabilité des échanges</w:t>
            </w:r>
          </w:p>
        </w:tc>
        <w:tc>
          <w:tcPr>
            <w:tcW w:w="0" w:type="auto"/>
          </w:tcPr>
          <w:p w14:paraId="2613FE4F" w14:textId="77777777" w:rsidR="00901B2C" w:rsidRDefault="00056191">
            <w:pPr>
              <w:pStyle w:val="Compact"/>
            </w:pPr>
            <w:r>
              <w:t>Diminue le hors-plateforme</w:t>
            </w:r>
          </w:p>
        </w:tc>
        <w:tc>
          <w:tcPr>
            <w:tcW w:w="0" w:type="auto"/>
          </w:tcPr>
          <w:p w14:paraId="680FF50A" w14:textId="77777777" w:rsidR="00901B2C" w:rsidRDefault="00056191">
            <w:pPr>
              <w:pStyle w:val="Compact"/>
            </w:pPr>
            <w:r>
              <w:t>V1</w:t>
            </w:r>
          </w:p>
        </w:tc>
        <w:tc>
          <w:tcPr>
            <w:tcW w:w="0" w:type="auto"/>
          </w:tcPr>
          <w:p w14:paraId="47386064" w14:textId="77777777" w:rsidR="00901B2C" w:rsidRDefault="00056191">
            <w:pPr>
              <w:pStyle w:val="Compact"/>
            </w:pPr>
            <w:r>
              <w:t>Construire ou intégrer</w:t>
            </w:r>
          </w:p>
        </w:tc>
        <w:tc>
          <w:tcPr>
            <w:tcW w:w="0" w:type="auto"/>
          </w:tcPr>
          <w:p w14:paraId="58D6BB69" w14:textId="77777777" w:rsidR="00901B2C" w:rsidRDefault="00056191">
            <w:pPr>
              <w:pStyle w:val="Compact"/>
            </w:pPr>
            <w:r>
              <w:t>Cabinet, investisseurs</w:t>
            </w:r>
          </w:p>
        </w:tc>
      </w:tr>
      <w:tr w:rsidR="00901B2C" w14:paraId="1EA5A191" w14:textId="77777777">
        <w:tc>
          <w:tcPr>
            <w:tcW w:w="0" w:type="auto"/>
          </w:tcPr>
          <w:p w14:paraId="033D47FC" w14:textId="77777777" w:rsidR="00901B2C" w:rsidRDefault="00056191">
            <w:pPr>
              <w:pStyle w:val="Compact"/>
            </w:pPr>
            <w:r>
              <w:t>Gestion des mandats</w:t>
            </w:r>
          </w:p>
        </w:tc>
        <w:tc>
          <w:tcPr>
            <w:tcW w:w="0" w:type="auto"/>
          </w:tcPr>
          <w:p w14:paraId="60FF50A2" w14:textId="77777777" w:rsidR="00901B2C" w:rsidRDefault="00056191">
            <w:pPr>
              <w:pStyle w:val="Compact"/>
            </w:pPr>
            <w:r>
              <w:t>Contrats et responsabilités</w:t>
            </w:r>
          </w:p>
        </w:tc>
        <w:tc>
          <w:tcPr>
            <w:tcW w:w="0" w:type="auto"/>
          </w:tcPr>
          <w:p w14:paraId="3DC538A3" w14:textId="77777777" w:rsidR="00901B2C" w:rsidRDefault="00056191">
            <w:pPr>
              <w:pStyle w:val="Compact"/>
            </w:pPr>
            <w:r>
              <w:t>Sécurise la monétisation</w:t>
            </w:r>
          </w:p>
        </w:tc>
        <w:tc>
          <w:tcPr>
            <w:tcW w:w="0" w:type="auto"/>
          </w:tcPr>
          <w:p w14:paraId="521A9144" w14:textId="77777777" w:rsidR="00901B2C" w:rsidRDefault="00056191">
            <w:pPr>
              <w:pStyle w:val="Compact"/>
            </w:pPr>
            <w:r>
              <w:t>V1</w:t>
            </w:r>
          </w:p>
        </w:tc>
        <w:tc>
          <w:tcPr>
            <w:tcW w:w="0" w:type="auto"/>
          </w:tcPr>
          <w:p w14:paraId="6043C58D" w14:textId="77777777" w:rsidR="00901B2C" w:rsidRDefault="00056191">
            <w:pPr>
              <w:pStyle w:val="Compact"/>
            </w:pPr>
            <w:r>
              <w:t>Construire</w:t>
            </w:r>
          </w:p>
        </w:tc>
        <w:tc>
          <w:tcPr>
            <w:tcW w:w="0" w:type="auto"/>
          </w:tcPr>
          <w:p w14:paraId="22FEA8FC" w14:textId="77777777" w:rsidR="00901B2C" w:rsidRDefault="00056191">
            <w:pPr>
              <w:pStyle w:val="Compact"/>
            </w:pPr>
            <w:r>
              <w:t>Cabinet</w:t>
            </w:r>
          </w:p>
        </w:tc>
      </w:tr>
      <w:tr w:rsidR="00901B2C" w14:paraId="13F0D874" w14:textId="77777777">
        <w:tc>
          <w:tcPr>
            <w:tcW w:w="0" w:type="auto"/>
          </w:tcPr>
          <w:p w14:paraId="5333FF3B" w14:textId="77777777" w:rsidR="00901B2C" w:rsidRDefault="00056191">
            <w:pPr>
              <w:pStyle w:val="Compact"/>
            </w:pPr>
            <w:r>
              <w:t>Gestion des fees</w:t>
            </w:r>
          </w:p>
        </w:tc>
        <w:tc>
          <w:tcPr>
            <w:tcW w:w="0" w:type="auto"/>
          </w:tcPr>
          <w:p w14:paraId="0CD3662F" w14:textId="77777777" w:rsidR="00901B2C" w:rsidRDefault="00056191">
            <w:pPr>
              <w:pStyle w:val="Compact"/>
            </w:pPr>
            <w:r>
              <w:t>Retainers, success fees, échéances</w:t>
            </w:r>
          </w:p>
        </w:tc>
        <w:tc>
          <w:tcPr>
            <w:tcW w:w="0" w:type="auto"/>
          </w:tcPr>
          <w:p w14:paraId="2503D432" w14:textId="77777777" w:rsidR="00901B2C" w:rsidRDefault="00056191">
            <w:pPr>
              <w:pStyle w:val="Compact"/>
            </w:pPr>
            <w:r>
              <w:t>Pilotage du revenu</w:t>
            </w:r>
          </w:p>
        </w:tc>
        <w:tc>
          <w:tcPr>
            <w:tcW w:w="0" w:type="auto"/>
          </w:tcPr>
          <w:p w14:paraId="1EF041B5" w14:textId="77777777" w:rsidR="00901B2C" w:rsidRDefault="00056191">
            <w:pPr>
              <w:pStyle w:val="Compact"/>
            </w:pPr>
            <w:r>
              <w:t>V1</w:t>
            </w:r>
          </w:p>
        </w:tc>
        <w:tc>
          <w:tcPr>
            <w:tcW w:w="0" w:type="auto"/>
          </w:tcPr>
          <w:p w14:paraId="0215716F" w14:textId="77777777" w:rsidR="00901B2C" w:rsidRDefault="00056191">
            <w:pPr>
              <w:pStyle w:val="Compact"/>
            </w:pPr>
            <w:r>
              <w:t>Construire</w:t>
            </w:r>
          </w:p>
        </w:tc>
        <w:tc>
          <w:tcPr>
            <w:tcW w:w="0" w:type="auto"/>
          </w:tcPr>
          <w:p w14:paraId="0BAD570A" w14:textId="77777777" w:rsidR="00901B2C" w:rsidRDefault="00056191">
            <w:pPr>
              <w:pStyle w:val="Compact"/>
            </w:pPr>
            <w:r>
              <w:t>Cabinet</w:t>
            </w:r>
          </w:p>
        </w:tc>
      </w:tr>
      <w:tr w:rsidR="00901B2C" w14:paraId="404B9C5B" w14:textId="77777777">
        <w:tc>
          <w:tcPr>
            <w:tcW w:w="0" w:type="auto"/>
          </w:tcPr>
          <w:p w14:paraId="19AC9EFE" w14:textId="77777777" w:rsidR="00901B2C" w:rsidRDefault="00056191">
            <w:pPr>
              <w:pStyle w:val="Compact"/>
            </w:pPr>
            <w:r>
              <w:t>DD OHADA/SYSCOHADA</w:t>
            </w:r>
          </w:p>
        </w:tc>
        <w:tc>
          <w:tcPr>
            <w:tcW w:w="0" w:type="auto"/>
          </w:tcPr>
          <w:p w14:paraId="0E5C3E18" w14:textId="77777777" w:rsidR="00901B2C" w:rsidRDefault="00056191">
            <w:pPr>
              <w:pStyle w:val="Compact"/>
            </w:pPr>
            <w:r>
              <w:t>Retraitements et lecture locale</w:t>
            </w:r>
          </w:p>
        </w:tc>
        <w:tc>
          <w:tcPr>
            <w:tcW w:w="0" w:type="auto"/>
          </w:tcPr>
          <w:p w14:paraId="03C6E950" w14:textId="77777777" w:rsidR="00901B2C" w:rsidRDefault="00056191">
            <w:pPr>
              <w:pStyle w:val="Compact"/>
            </w:pPr>
            <w:r>
              <w:t>Différenciation régionale forte</w:t>
            </w:r>
          </w:p>
        </w:tc>
        <w:tc>
          <w:tcPr>
            <w:tcW w:w="0" w:type="auto"/>
          </w:tcPr>
          <w:p w14:paraId="00F161F1" w14:textId="77777777" w:rsidR="00901B2C" w:rsidRDefault="00056191">
            <w:pPr>
              <w:pStyle w:val="Compact"/>
            </w:pPr>
            <w:r>
              <w:t>V2</w:t>
            </w:r>
          </w:p>
        </w:tc>
        <w:tc>
          <w:tcPr>
            <w:tcW w:w="0" w:type="auto"/>
          </w:tcPr>
          <w:p w14:paraId="47471B67" w14:textId="77777777" w:rsidR="00901B2C" w:rsidRDefault="00056191">
            <w:pPr>
              <w:pStyle w:val="Compact"/>
            </w:pPr>
            <w:r>
              <w:t>Construire</w:t>
            </w:r>
          </w:p>
        </w:tc>
        <w:tc>
          <w:tcPr>
            <w:tcW w:w="0" w:type="auto"/>
          </w:tcPr>
          <w:p w14:paraId="0DF30D22" w14:textId="77777777" w:rsidR="00901B2C" w:rsidRDefault="00056191">
            <w:pPr>
              <w:pStyle w:val="Compact"/>
            </w:pPr>
            <w:r>
              <w:t>Cabinet, investisseurs</w:t>
            </w:r>
          </w:p>
        </w:tc>
      </w:tr>
      <w:tr w:rsidR="00901B2C" w14:paraId="5D5998A6" w14:textId="77777777">
        <w:tc>
          <w:tcPr>
            <w:tcW w:w="0" w:type="auto"/>
          </w:tcPr>
          <w:p w14:paraId="2FBA2215" w14:textId="77777777" w:rsidR="00901B2C" w:rsidRDefault="00056191">
            <w:pPr>
              <w:pStyle w:val="Compact"/>
            </w:pPr>
            <w:r>
              <w:t>Reporting &amp; dashboards</w:t>
            </w:r>
          </w:p>
        </w:tc>
        <w:tc>
          <w:tcPr>
            <w:tcW w:w="0" w:type="auto"/>
          </w:tcPr>
          <w:p w14:paraId="12BA3D00" w14:textId="77777777" w:rsidR="00901B2C" w:rsidRDefault="00056191">
            <w:pPr>
              <w:pStyle w:val="Compact"/>
            </w:pPr>
            <w:r>
              <w:t>Pilotage et apprentissage</w:t>
            </w:r>
          </w:p>
        </w:tc>
        <w:tc>
          <w:tcPr>
            <w:tcW w:w="0" w:type="auto"/>
          </w:tcPr>
          <w:p w14:paraId="0DC2D36A" w14:textId="77777777" w:rsidR="00901B2C" w:rsidRDefault="00056191">
            <w:pPr>
              <w:pStyle w:val="Compact"/>
            </w:pPr>
            <w:r>
              <w:t>Décision et productivité</w:t>
            </w:r>
          </w:p>
        </w:tc>
        <w:tc>
          <w:tcPr>
            <w:tcW w:w="0" w:type="auto"/>
          </w:tcPr>
          <w:p w14:paraId="063535A5" w14:textId="77777777" w:rsidR="00901B2C" w:rsidRDefault="00056191">
            <w:pPr>
              <w:pStyle w:val="Compact"/>
            </w:pPr>
            <w:r>
              <w:t>MVP</w:t>
            </w:r>
          </w:p>
        </w:tc>
        <w:tc>
          <w:tcPr>
            <w:tcW w:w="0" w:type="auto"/>
          </w:tcPr>
          <w:p w14:paraId="4257ADE5" w14:textId="77777777" w:rsidR="00901B2C" w:rsidRDefault="00056191">
            <w:pPr>
              <w:pStyle w:val="Compact"/>
            </w:pPr>
            <w:r>
              <w:t>Construire</w:t>
            </w:r>
          </w:p>
        </w:tc>
        <w:tc>
          <w:tcPr>
            <w:tcW w:w="0" w:type="auto"/>
          </w:tcPr>
          <w:p w14:paraId="38B6F173" w14:textId="77777777" w:rsidR="00901B2C" w:rsidRDefault="00056191">
            <w:pPr>
              <w:pStyle w:val="Compact"/>
            </w:pPr>
            <w:r>
              <w:t>Cabinet, admin</w:t>
            </w:r>
          </w:p>
        </w:tc>
      </w:tr>
      <w:tr w:rsidR="00901B2C" w14:paraId="4CA0BFCC" w14:textId="77777777">
        <w:tc>
          <w:tcPr>
            <w:tcW w:w="0" w:type="auto"/>
          </w:tcPr>
          <w:p w14:paraId="51420A45" w14:textId="77777777" w:rsidR="00901B2C" w:rsidRDefault="00056191">
            <w:pPr>
              <w:pStyle w:val="Compact"/>
            </w:pPr>
            <w:r>
              <w:t>Rôles, permissions, audit trail</w:t>
            </w:r>
          </w:p>
        </w:tc>
        <w:tc>
          <w:tcPr>
            <w:tcW w:w="0" w:type="auto"/>
          </w:tcPr>
          <w:p w14:paraId="6D90DD78" w14:textId="77777777" w:rsidR="00901B2C" w:rsidRDefault="00056191">
            <w:pPr>
              <w:pStyle w:val="Compact"/>
            </w:pPr>
            <w:r>
              <w:t>Sécurité et preuv</w:t>
            </w:r>
            <w:r>
              <w:t>e</w:t>
            </w:r>
          </w:p>
        </w:tc>
        <w:tc>
          <w:tcPr>
            <w:tcW w:w="0" w:type="auto"/>
          </w:tcPr>
          <w:p w14:paraId="698D2DB7" w14:textId="77777777" w:rsidR="00901B2C" w:rsidRDefault="00056191">
            <w:pPr>
              <w:pStyle w:val="Compact"/>
            </w:pPr>
            <w:r>
              <w:t>Condition de confiance</w:t>
            </w:r>
          </w:p>
        </w:tc>
        <w:tc>
          <w:tcPr>
            <w:tcW w:w="0" w:type="auto"/>
          </w:tcPr>
          <w:p w14:paraId="681FBFB0" w14:textId="77777777" w:rsidR="00901B2C" w:rsidRDefault="00056191">
            <w:pPr>
              <w:pStyle w:val="Compact"/>
            </w:pPr>
            <w:r>
              <w:t>MVP/V1</w:t>
            </w:r>
          </w:p>
        </w:tc>
        <w:tc>
          <w:tcPr>
            <w:tcW w:w="0" w:type="auto"/>
          </w:tcPr>
          <w:p w14:paraId="2509A698" w14:textId="77777777" w:rsidR="00901B2C" w:rsidRDefault="00056191">
            <w:pPr>
              <w:pStyle w:val="Compact"/>
            </w:pPr>
            <w:r>
              <w:t>Construire + composants sécurité</w:t>
            </w:r>
          </w:p>
        </w:tc>
        <w:tc>
          <w:tcPr>
            <w:tcW w:w="0" w:type="auto"/>
          </w:tcPr>
          <w:p w14:paraId="7E48DF05" w14:textId="77777777" w:rsidR="00901B2C" w:rsidRDefault="00056191">
            <w:pPr>
              <w:pStyle w:val="Compact"/>
            </w:pPr>
            <w:r>
              <w:t>Admin</w:t>
            </w:r>
          </w:p>
        </w:tc>
      </w:tr>
    </w:tbl>
    <w:p w14:paraId="4DEACE0C" w14:textId="77777777" w:rsidR="00901B2C" w:rsidRDefault="00056191">
      <w:pPr>
        <w:pStyle w:val="Corpsdetexte"/>
      </w:pPr>
      <w:r>
        <w:t xml:space="preserve">Le choix </w:t>
      </w:r>
      <w:r>
        <w:rPr>
          <w:b/>
          <w:bCs/>
        </w:rPr>
        <w:t>acheter vs construire</w:t>
      </w:r>
      <w:r>
        <w:t xml:space="preserve"> </w:t>
      </w:r>
      <w:r>
        <w:t>doit être pragmatique. Les briques où le marché est objectivement mature — VDR, e-signature, screening KYC/AML — ont généralement plus de valeur si elles sont achetées. Les briques où votre avantage concurrentiel est fort — readiness score, matching, lectu</w:t>
      </w:r>
      <w:r>
        <w:t>re OHADA/SYSCOHADA, règles de gestion cabinet, logique de monétisation — doivent au contraire être construites et possédées. Les solutions de screening comme LSEG World-Check et Moody’s Grid couvrent précisément les sanctions, PEP, watchlists et adverse me</w:t>
      </w:r>
      <w:r>
        <w:t xml:space="preserve">dia ; les solutions de deal management et VDR de marché montrent que ces besoins sont standards et industrialisables. </w:t>
      </w:r>
      <w:hyperlink r:id="rId18">
        <w:r>
          <w:rPr>
            <w:rStyle w:val="Lienhypertexte"/>
          </w:rPr>
          <w:t>[14]</w:t>
        </w:r>
      </w:hyperlink>
    </w:p>
    <w:p w14:paraId="43EF9380" w14:textId="77777777" w:rsidR="00901B2C" w:rsidRDefault="00056191">
      <w:pPr>
        <w:pStyle w:val="Corpsdetexte"/>
      </w:pPr>
      <w:r>
        <w:t xml:space="preserve">La </w:t>
      </w:r>
      <w:r>
        <w:t xml:space="preserve">brique </w:t>
      </w:r>
      <w:r>
        <w:rPr>
          <w:b/>
          <w:bCs/>
        </w:rPr>
        <w:t>DD OHADA/SYSCOHADA</w:t>
      </w:r>
      <w:r>
        <w:t xml:space="preserve"> mérite une attention particulière. Elle n’est pas un gadget local ; elle découle directement du fait que l’OHADA couvre dix-sept États et que le SYSCOHADA révisé constitue la base comptable commune d’une grande partie de votre zon</w:t>
      </w:r>
      <w:r>
        <w:t>e cible. Pour un cabinet voulant servir à la fois des entrepreneurs et des fonds, c’est un excellent point de différenciation : ingestion de balances, mapping de comptes, retraitements d’EBITDA, dette nette, BFR, revue fiscale/sociale, et synthèse investis</w:t>
      </w:r>
      <w:r>
        <w:t xml:space="preserve">seur. </w:t>
      </w:r>
      <w:hyperlink r:id="rId19">
        <w:r>
          <w:rPr>
            <w:rStyle w:val="Lienhypertexte"/>
          </w:rPr>
          <w:t>[15]</w:t>
        </w:r>
      </w:hyperlink>
    </w:p>
    <w:p w14:paraId="58FA79FA" w14:textId="77777777" w:rsidR="00901B2C" w:rsidRDefault="00056191">
      <w:pPr>
        <w:pStyle w:val="Corpsdetexte"/>
      </w:pPr>
      <w:r>
        <w:t xml:space="preserve">Enfin, la brique </w:t>
      </w:r>
      <w:r>
        <w:rPr>
          <w:b/>
          <w:bCs/>
        </w:rPr>
        <w:t>ESG/impact</w:t>
      </w:r>
      <w:r>
        <w:t xml:space="preserve"> doit être prise au sérieux si vous ciblez des impact funds et des DFI. L’IFC rappelle que les risques environnementaux, sociaux et d</w:t>
      </w:r>
      <w:r>
        <w:t xml:space="preserve">e gouvernance sont intégrés à sa </w:t>
      </w:r>
      <w:r>
        <w:lastRenderedPageBreak/>
        <w:t xml:space="preserve">due diligence globale et que l’issue de cette due diligence influence directement l’approbation d’un investissement. Cela justifie de prévoir, dès la V1 ou V2, des champs de collecte ESG, une checklist impact et au minimum </w:t>
      </w:r>
      <w:r>
        <w:t xml:space="preserve">un pré-screening. </w:t>
      </w:r>
      <w:hyperlink r:id="rId20">
        <w:r>
          <w:rPr>
            <w:rStyle w:val="Lienhypertexte"/>
          </w:rPr>
          <w:t>[16]</w:t>
        </w:r>
      </w:hyperlink>
    </w:p>
    <w:p w14:paraId="1C265BEA" w14:textId="77777777" w:rsidR="00901B2C" w:rsidRDefault="00056191">
      <w:pPr>
        <w:pStyle w:val="Titre2"/>
      </w:pPr>
      <w:bookmarkStart w:id="8" w:name="modèle-économique-et-mvp-recommandé"/>
      <w:bookmarkEnd w:id="6"/>
      <w:bookmarkEnd w:id="7"/>
      <w:r>
        <w:t>Modèle économique et MVP recommandé</w:t>
      </w:r>
    </w:p>
    <w:p w14:paraId="06A0EFA9" w14:textId="77777777" w:rsidR="00901B2C" w:rsidRDefault="00056191">
      <w:pPr>
        <w:pStyle w:val="FirstParagraph"/>
      </w:pPr>
      <w:r>
        <w:t xml:space="preserve">Le modèle économique le plus robuste pour votre cas n’est ni un SaaS pur, ni </w:t>
      </w:r>
      <w:r>
        <w:t xml:space="preserve">un pur success fee. Il doit être </w:t>
      </w:r>
      <w:r>
        <w:rPr>
          <w:b/>
          <w:bCs/>
        </w:rPr>
        <w:t>hybride</w:t>
      </w:r>
      <w:r>
        <w:t>, avec monétisation à plusieurs moments du cycle de valeur. Cela permet de limiter le risque de cash-flow, d’aligner les revenus sur l’effort réel du cabinet et d’augmenter la capacité à financer la croissance produi</w:t>
      </w:r>
      <w:r>
        <w:t>t.</w:t>
      </w:r>
    </w:p>
    <w:tbl>
      <w:tblPr>
        <w:tblStyle w:val="Table"/>
        <w:tblW w:w="0" w:type="auto"/>
        <w:tblLook w:val="0020" w:firstRow="1" w:lastRow="0" w:firstColumn="0" w:lastColumn="0" w:noHBand="0" w:noVBand="0"/>
      </w:tblPr>
      <w:tblGrid>
        <w:gridCol w:w="1396"/>
        <w:gridCol w:w="2290"/>
        <w:gridCol w:w="1395"/>
        <w:gridCol w:w="1853"/>
        <w:gridCol w:w="967"/>
        <w:gridCol w:w="1721"/>
      </w:tblGrid>
      <w:tr w:rsidR="00901B2C" w14:paraId="5F6AC5AA" w14:textId="77777777" w:rsidTr="00901B2C">
        <w:trPr>
          <w:cnfStyle w:val="100000000000" w:firstRow="1" w:lastRow="0" w:firstColumn="0" w:lastColumn="0" w:oddVBand="0" w:evenVBand="0" w:oddHBand="0" w:evenHBand="0" w:firstRowFirstColumn="0" w:firstRowLastColumn="0" w:lastRowFirstColumn="0" w:lastRowLastColumn="0"/>
          <w:tblHeader/>
        </w:trPr>
        <w:tc>
          <w:tcPr>
            <w:tcW w:w="0" w:type="auto"/>
          </w:tcPr>
          <w:p w14:paraId="6716DD17" w14:textId="77777777" w:rsidR="00901B2C" w:rsidRDefault="00056191">
            <w:pPr>
              <w:pStyle w:val="Compact"/>
            </w:pPr>
            <w:r>
              <w:t>Source de revenu</w:t>
            </w:r>
          </w:p>
        </w:tc>
        <w:tc>
          <w:tcPr>
            <w:tcW w:w="0" w:type="auto"/>
          </w:tcPr>
          <w:p w14:paraId="732CAC1F" w14:textId="77777777" w:rsidR="00901B2C" w:rsidRDefault="00056191">
            <w:pPr>
              <w:pStyle w:val="Compact"/>
            </w:pPr>
            <w:r>
              <w:t>Client payeur</w:t>
            </w:r>
          </w:p>
        </w:tc>
        <w:tc>
          <w:tcPr>
            <w:tcW w:w="0" w:type="auto"/>
          </w:tcPr>
          <w:p w14:paraId="13D40944" w14:textId="77777777" w:rsidR="00901B2C" w:rsidRDefault="00056191">
            <w:pPr>
              <w:pStyle w:val="Compact"/>
            </w:pPr>
            <w:r>
              <w:t>Moment de facturation</w:t>
            </w:r>
          </w:p>
        </w:tc>
        <w:tc>
          <w:tcPr>
            <w:tcW w:w="0" w:type="auto"/>
          </w:tcPr>
          <w:p w14:paraId="48742DAD" w14:textId="77777777" w:rsidR="00901B2C" w:rsidRDefault="00056191">
            <w:pPr>
              <w:pStyle w:val="Compact"/>
            </w:pPr>
            <w:r>
              <w:t>Valeur apportée</w:t>
            </w:r>
          </w:p>
        </w:tc>
        <w:tc>
          <w:tcPr>
            <w:tcW w:w="0" w:type="auto"/>
          </w:tcPr>
          <w:p w14:paraId="2C0913A0" w14:textId="77777777" w:rsidR="00901B2C" w:rsidRDefault="00056191">
            <w:pPr>
              <w:pStyle w:val="Compact"/>
            </w:pPr>
            <w:r>
              <w:t>Priorité</w:t>
            </w:r>
          </w:p>
        </w:tc>
        <w:tc>
          <w:tcPr>
            <w:tcW w:w="0" w:type="auto"/>
          </w:tcPr>
          <w:p w14:paraId="7342A96E" w14:textId="77777777" w:rsidR="00901B2C" w:rsidRDefault="00056191">
            <w:pPr>
              <w:pStyle w:val="Compact"/>
            </w:pPr>
            <w:r>
              <w:t>Risque à surveiller</w:t>
            </w:r>
          </w:p>
        </w:tc>
      </w:tr>
      <w:tr w:rsidR="00901B2C" w14:paraId="5CB7B512" w14:textId="77777777">
        <w:tc>
          <w:tcPr>
            <w:tcW w:w="0" w:type="auto"/>
          </w:tcPr>
          <w:p w14:paraId="1E2DE965" w14:textId="77777777" w:rsidR="00901B2C" w:rsidRDefault="00056191">
            <w:pPr>
              <w:pStyle w:val="Compact"/>
            </w:pPr>
            <w:r>
              <w:t>Freemium</w:t>
            </w:r>
          </w:p>
        </w:tc>
        <w:tc>
          <w:tcPr>
            <w:tcW w:w="0" w:type="auto"/>
          </w:tcPr>
          <w:p w14:paraId="625F8AFA" w14:textId="77777777" w:rsidR="00901B2C" w:rsidRDefault="00056191">
            <w:pPr>
              <w:pStyle w:val="Compact"/>
            </w:pPr>
            <w:r>
              <w:t>Aucun / entrepreneur</w:t>
            </w:r>
          </w:p>
        </w:tc>
        <w:tc>
          <w:tcPr>
            <w:tcW w:w="0" w:type="auto"/>
          </w:tcPr>
          <w:p w14:paraId="06637702" w14:textId="77777777" w:rsidR="00901B2C" w:rsidRDefault="00056191">
            <w:pPr>
              <w:pStyle w:val="Compact"/>
            </w:pPr>
            <w:r>
              <w:t>Entrée</w:t>
            </w:r>
          </w:p>
        </w:tc>
        <w:tc>
          <w:tcPr>
            <w:tcW w:w="0" w:type="auto"/>
          </w:tcPr>
          <w:p w14:paraId="30D94791" w14:textId="77777777" w:rsidR="00901B2C" w:rsidRDefault="00056191">
            <w:pPr>
              <w:pStyle w:val="Compact"/>
            </w:pPr>
            <w:r>
              <w:t>Acquisition et qualification</w:t>
            </w:r>
          </w:p>
        </w:tc>
        <w:tc>
          <w:tcPr>
            <w:tcW w:w="0" w:type="auto"/>
          </w:tcPr>
          <w:p w14:paraId="1A9B563A" w14:textId="77777777" w:rsidR="00901B2C" w:rsidRDefault="00056191">
            <w:pPr>
              <w:pStyle w:val="Compact"/>
            </w:pPr>
            <w:r>
              <w:t>MVP</w:t>
            </w:r>
          </w:p>
        </w:tc>
        <w:tc>
          <w:tcPr>
            <w:tcW w:w="0" w:type="auto"/>
          </w:tcPr>
          <w:p w14:paraId="5447ACA9" w14:textId="77777777" w:rsidR="00901B2C" w:rsidRDefault="00056191">
            <w:pPr>
              <w:pStyle w:val="Compact"/>
            </w:pPr>
            <w:r>
              <w:t>Trop de volume non qualifié</w:t>
            </w:r>
          </w:p>
        </w:tc>
      </w:tr>
      <w:tr w:rsidR="00901B2C" w14:paraId="1E2DB712" w14:textId="77777777">
        <w:tc>
          <w:tcPr>
            <w:tcW w:w="0" w:type="auto"/>
          </w:tcPr>
          <w:p w14:paraId="0EAA600A" w14:textId="77777777" w:rsidR="00901B2C" w:rsidRDefault="00056191">
            <w:pPr>
              <w:pStyle w:val="Compact"/>
            </w:pPr>
            <w:r>
              <w:t>Diagnostic expert</w:t>
            </w:r>
          </w:p>
        </w:tc>
        <w:tc>
          <w:tcPr>
            <w:tcW w:w="0" w:type="auto"/>
          </w:tcPr>
          <w:p w14:paraId="393313B5" w14:textId="77777777" w:rsidR="00901B2C" w:rsidRDefault="00056191">
            <w:pPr>
              <w:pStyle w:val="Compact"/>
            </w:pPr>
            <w:r>
              <w:t>Entrepreneur</w:t>
            </w:r>
          </w:p>
        </w:tc>
        <w:tc>
          <w:tcPr>
            <w:tcW w:w="0" w:type="auto"/>
          </w:tcPr>
          <w:p w14:paraId="7787E9CE" w14:textId="77777777" w:rsidR="00901B2C" w:rsidRDefault="00056191">
            <w:pPr>
              <w:pStyle w:val="Compact"/>
            </w:pPr>
            <w:r>
              <w:t>Après score initial</w:t>
            </w:r>
          </w:p>
        </w:tc>
        <w:tc>
          <w:tcPr>
            <w:tcW w:w="0" w:type="auto"/>
          </w:tcPr>
          <w:p w14:paraId="342188FC" w14:textId="77777777" w:rsidR="00901B2C" w:rsidRDefault="00056191">
            <w:pPr>
              <w:pStyle w:val="Compact"/>
            </w:pPr>
            <w:r>
              <w:t>Rapport détaillé, plan d’action</w:t>
            </w:r>
          </w:p>
        </w:tc>
        <w:tc>
          <w:tcPr>
            <w:tcW w:w="0" w:type="auto"/>
          </w:tcPr>
          <w:p w14:paraId="0590FCD9" w14:textId="77777777" w:rsidR="00901B2C" w:rsidRDefault="00056191">
            <w:pPr>
              <w:pStyle w:val="Compact"/>
            </w:pPr>
            <w:r>
              <w:t>MVP</w:t>
            </w:r>
          </w:p>
        </w:tc>
        <w:tc>
          <w:tcPr>
            <w:tcW w:w="0" w:type="auto"/>
          </w:tcPr>
          <w:p w14:paraId="2640C762" w14:textId="77777777" w:rsidR="00901B2C" w:rsidRDefault="00056191">
            <w:pPr>
              <w:pStyle w:val="Compact"/>
            </w:pPr>
            <w:r>
              <w:t>Prix mal calibré</w:t>
            </w:r>
          </w:p>
        </w:tc>
      </w:tr>
      <w:tr w:rsidR="00901B2C" w14:paraId="59C66F8F" w14:textId="77777777">
        <w:tc>
          <w:tcPr>
            <w:tcW w:w="0" w:type="auto"/>
          </w:tcPr>
          <w:p w14:paraId="5AD4F76B" w14:textId="77777777" w:rsidR="00901B2C" w:rsidRDefault="00056191">
            <w:pPr>
              <w:pStyle w:val="Compact"/>
            </w:pPr>
            <w:r>
              <w:t>Pack Investor Readiness</w:t>
            </w:r>
          </w:p>
        </w:tc>
        <w:tc>
          <w:tcPr>
            <w:tcW w:w="0" w:type="auto"/>
          </w:tcPr>
          <w:p w14:paraId="3724A175" w14:textId="77777777" w:rsidR="00901B2C" w:rsidRDefault="00056191">
            <w:pPr>
              <w:pStyle w:val="Compact"/>
            </w:pPr>
            <w:r>
              <w:t>Entrepreneur</w:t>
            </w:r>
          </w:p>
        </w:tc>
        <w:tc>
          <w:tcPr>
            <w:tcW w:w="0" w:type="auto"/>
          </w:tcPr>
          <w:p w14:paraId="1352DA53" w14:textId="77777777" w:rsidR="00901B2C" w:rsidRDefault="00056191">
            <w:pPr>
              <w:pStyle w:val="Compact"/>
            </w:pPr>
            <w:r>
              <w:t>Après diagnostic</w:t>
            </w:r>
          </w:p>
        </w:tc>
        <w:tc>
          <w:tcPr>
            <w:tcW w:w="0" w:type="auto"/>
          </w:tcPr>
          <w:p w14:paraId="6C8E6D4E" w14:textId="77777777" w:rsidR="00901B2C" w:rsidRDefault="00056191">
            <w:pPr>
              <w:pStyle w:val="Compact"/>
            </w:pPr>
            <w:r>
              <w:t>Transformation du dossier</w:t>
            </w:r>
          </w:p>
        </w:tc>
        <w:tc>
          <w:tcPr>
            <w:tcW w:w="0" w:type="auto"/>
          </w:tcPr>
          <w:p w14:paraId="2F042A4B" w14:textId="77777777" w:rsidR="00901B2C" w:rsidRDefault="00056191">
            <w:pPr>
              <w:pStyle w:val="Compact"/>
            </w:pPr>
            <w:r>
              <w:t>MVP</w:t>
            </w:r>
          </w:p>
        </w:tc>
        <w:tc>
          <w:tcPr>
            <w:tcW w:w="0" w:type="auto"/>
          </w:tcPr>
          <w:p w14:paraId="4DD75AE2" w14:textId="77777777" w:rsidR="00901B2C" w:rsidRDefault="00056191">
            <w:pPr>
              <w:pStyle w:val="Compact"/>
            </w:pPr>
            <w:r>
              <w:t>Confusion avec promesse de financement</w:t>
            </w:r>
          </w:p>
        </w:tc>
      </w:tr>
      <w:tr w:rsidR="00901B2C" w14:paraId="0102C648" w14:textId="77777777">
        <w:tc>
          <w:tcPr>
            <w:tcW w:w="0" w:type="auto"/>
          </w:tcPr>
          <w:p w14:paraId="2CB2AA86" w14:textId="77777777" w:rsidR="00901B2C" w:rsidRDefault="00056191">
            <w:pPr>
              <w:pStyle w:val="Compact"/>
            </w:pPr>
            <w:r>
              <w:t>Pack préparation levée</w:t>
            </w:r>
          </w:p>
        </w:tc>
        <w:tc>
          <w:tcPr>
            <w:tcW w:w="0" w:type="auto"/>
          </w:tcPr>
          <w:p w14:paraId="5D44ADE5" w14:textId="77777777" w:rsidR="00901B2C" w:rsidRDefault="00056191">
            <w:pPr>
              <w:pStyle w:val="Compact"/>
            </w:pPr>
            <w:r>
              <w:t>Entrepreneur</w:t>
            </w:r>
          </w:p>
        </w:tc>
        <w:tc>
          <w:tcPr>
            <w:tcW w:w="0" w:type="auto"/>
          </w:tcPr>
          <w:p w14:paraId="2ED01484" w14:textId="77777777" w:rsidR="00901B2C" w:rsidRDefault="00056191">
            <w:pPr>
              <w:pStyle w:val="Compact"/>
            </w:pPr>
            <w:r>
              <w:t>Avant approche finance</w:t>
            </w:r>
            <w:r>
              <w:t>urs</w:t>
            </w:r>
          </w:p>
        </w:tc>
        <w:tc>
          <w:tcPr>
            <w:tcW w:w="0" w:type="auto"/>
          </w:tcPr>
          <w:p w14:paraId="7FAFDC1F" w14:textId="77777777" w:rsidR="00901B2C" w:rsidRDefault="00056191">
            <w:pPr>
              <w:pStyle w:val="Compact"/>
            </w:pPr>
            <w:r>
              <w:t>Pitch, modèle, teaser, data room</w:t>
            </w:r>
          </w:p>
        </w:tc>
        <w:tc>
          <w:tcPr>
            <w:tcW w:w="0" w:type="auto"/>
          </w:tcPr>
          <w:p w14:paraId="189C9F1B" w14:textId="77777777" w:rsidR="00901B2C" w:rsidRDefault="00056191">
            <w:pPr>
              <w:pStyle w:val="Compact"/>
            </w:pPr>
            <w:r>
              <w:t>MVP/V1</w:t>
            </w:r>
          </w:p>
        </w:tc>
        <w:tc>
          <w:tcPr>
            <w:tcW w:w="0" w:type="auto"/>
          </w:tcPr>
          <w:p w14:paraId="4B907C71" w14:textId="77777777" w:rsidR="00901B2C" w:rsidRDefault="00056191">
            <w:pPr>
              <w:pStyle w:val="Compact"/>
            </w:pPr>
            <w:r>
              <w:t>Charge de production</w:t>
            </w:r>
          </w:p>
        </w:tc>
      </w:tr>
      <w:tr w:rsidR="00901B2C" w14:paraId="4C81DBDD" w14:textId="77777777">
        <w:tc>
          <w:tcPr>
            <w:tcW w:w="0" w:type="auto"/>
          </w:tcPr>
          <w:p w14:paraId="627D79B7" w14:textId="77777777" w:rsidR="00901B2C" w:rsidRDefault="00056191">
            <w:pPr>
              <w:pStyle w:val="Compact"/>
            </w:pPr>
            <w:r>
              <w:t>Retainer de mandat</w:t>
            </w:r>
          </w:p>
        </w:tc>
        <w:tc>
          <w:tcPr>
            <w:tcW w:w="0" w:type="auto"/>
          </w:tcPr>
          <w:p w14:paraId="02B35F37" w14:textId="77777777" w:rsidR="00901B2C" w:rsidRDefault="00056191">
            <w:pPr>
              <w:pStyle w:val="Compact"/>
            </w:pPr>
            <w:r>
              <w:t>Entrepreneur ou investisseur</w:t>
            </w:r>
          </w:p>
        </w:tc>
        <w:tc>
          <w:tcPr>
            <w:tcW w:w="0" w:type="auto"/>
          </w:tcPr>
          <w:p w14:paraId="365877FB" w14:textId="77777777" w:rsidR="00901B2C" w:rsidRDefault="00056191">
            <w:pPr>
              <w:pStyle w:val="Compact"/>
            </w:pPr>
            <w:r>
              <w:t>Mensuel / par jalon</w:t>
            </w:r>
          </w:p>
        </w:tc>
        <w:tc>
          <w:tcPr>
            <w:tcW w:w="0" w:type="auto"/>
          </w:tcPr>
          <w:p w14:paraId="7AFF9819" w14:textId="77777777" w:rsidR="00901B2C" w:rsidRDefault="00056191">
            <w:pPr>
              <w:pStyle w:val="Compact"/>
            </w:pPr>
            <w:r>
              <w:t>Accompagnement actif</w:t>
            </w:r>
          </w:p>
        </w:tc>
        <w:tc>
          <w:tcPr>
            <w:tcW w:w="0" w:type="auto"/>
          </w:tcPr>
          <w:p w14:paraId="3A7AE59A" w14:textId="77777777" w:rsidR="00901B2C" w:rsidRDefault="00056191">
            <w:pPr>
              <w:pStyle w:val="Compact"/>
            </w:pPr>
            <w:r>
              <w:t>V1</w:t>
            </w:r>
          </w:p>
        </w:tc>
        <w:tc>
          <w:tcPr>
            <w:tcW w:w="0" w:type="auto"/>
          </w:tcPr>
          <w:p w14:paraId="17C71BCA" w14:textId="77777777" w:rsidR="00901B2C" w:rsidRDefault="00056191">
            <w:pPr>
              <w:pStyle w:val="Compact"/>
            </w:pPr>
            <w:r>
              <w:t>Résistance au paiement sans résultat</w:t>
            </w:r>
          </w:p>
        </w:tc>
      </w:tr>
      <w:tr w:rsidR="00901B2C" w14:paraId="209BD0EC" w14:textId="77777777">
        <w:tc>
          <w:tcPr>
            <w:tcW w:w="0" w:type="auto"/>
          </w:tcPr>
          <w:p w14:paraId="2CDC9211" w14:textId="77777777" w:rsidR="00901B2C" w:rsidRDefault="00056191">
            <w:pPr>
              <w:pStyle w:val="Compact"/>
            </w:pPr>
            <w:r>
              <w:t>Success fee</w:t>
            </w:r>
          </w:p>
        </w:tc>
        <w:tc>
          <w:tcPr>
            <w:tcW w:w="0" w:type="auto"/>
          </w:tcPr>
          <w:p w14:paraId="24DC556B" w14:textId="77777777" w:rsidR="00901B2C" w:rsidRDefault="00056191">
            <w:pPr>
              <w:pStyle w:val="Compact"/>
            </w:pPr>
            <w:r>
              <w:t>Entrepreneur ou investisseur selon mandat</w:t>
            </w:r>
          </w:p>
        </w:tc>
        <w:tc>
          <w:tcPr>
            <w:tcW w:w="0" w:type="auto"/>
          </w:tcPr>
          <w:p w14:paraId="33C5A909" w14:textId="77777777" w:rsidR="00901B2C" w:rsidRDefault="00056191">
            <w:pPr>
              <w:pStyle w:val="Compact"/>
            </w:pPr>
            <w:r>
              <w:t>Au closing</w:t>
            </w:r>
          </w:p>
        </w:tc>
        <w:tc>
          <w:tcPr>
            <w:tcW w:w="0" w:type="auto"/>
          </w:tcPr>
          <w:p w14:paraId="40F29CD4" w14:textId="77777777" w:rsidR="00901B2C" w:rsidRDefault="00056191">
            <w:pPr>
              <w:pStyle w:val="Compact"/>
            </w:pPr>
            <w:r>
              <w:t>Alignement sur le résultat</w:t>
            </w:r>
          </w:p>
        </w:tc>
        <w:tc>
          <w:tcPr>
            <w:tcW w:w="0" w:type="auto"/>
          </w:tcPr>
          <w:p w14:paraId="367753B2" w14:textId="77777777" w:rsidR="00901B2C" w:rsidRDefault="00056191">
            <w:pPr>
              <w:pStyle w:val="Compact"/>
            </w:pPr>
            <w:r>
              <w:t>V1</w:t>
            </w:r>
          </w:p>
        </w:tc>
        <w:tc>
          <w:tcPr>
            <w:tcW w:w="0" w:type="auto"/>
          </w:tcPr>
          <w:p w14:paraId="1AD2B5F9" w14:textId="77777777" w:rsidR="00901B2C" w:rsidRDefault="00056191">
            <w:pPr>
              <w:pStyle w:val="Compact"/>
            </w:pPr>
            <w:r>
              <w:t>Revenus irréguliers</w:t>
            </w:r>
          </w:p>
        </w:tc>
      </w:tr>
      <w:tr w:rsidR="00901B2C" w14:paraId="40C929B5" w14:textId="77777777">
        <w:tc>
          <w:tcPr>
            <w:tcW w:w="0" w:type="auto"/>
          </w:tcPr>
          <w:p w14:paraId="14AAC1CF" w14:textId="77777777" w:rsidR="00901B2C" w:rsidRDefault="00056191">
            <w:pPr>
              <w:pStyle w:val="Compact"/>
            </w:pPr>
            <w:r>
              <w:t>Abonnement investisseur</w:t>
            </w:r>
          </w:p>
        </w:tc>
        <w:tc>
          <w:tcPr>
            <w:tcW w:w="0" w:type="auto"/>
          </w:tcPr>
          <w:p w14:paraId="75D9CE08" w14:textId="77777777" w:rsidR="00901B2C" w:rsidRDefault="00056191">
            <w:pPr>
              <w:pStyle w:val="Compact"/>
            </w:pPr>
            <w:r>
              <w:t>PE/VC/banque/family office</w:t>
            </w:r>
          </w:p>
        </w:tc>
        <w:tc>
          <w:tcPr>
            <w:tcW w:w="0" w:type="auto"/>
          </w:tcPr>
          <w:p w14:paraId="3FC1ECB6" w14:textId="77777777" w:rsidR="00901B2C" w:rsidRDefault="00056191">
            <w:pPr>
              <w:pStyle w:val="Compact"/>
            </w:pPr>
            <w:r>
              <w:t>Annuel / trimestriel</w:t>
            </w:r>
          </w:p>
        </w:tc>
        <w:tc>
          <w:tcPr>
            <w:tcW w:w="0" w:type="auto"/>
          </w:tcPr>
          <w:p w14:paraId="0DA2D9DD" w14:textId="77777777" w:rsidR="00901B2C" w:rsidRDefault="00056191">
            <w:pPr>
              <w:pStyle w:val="Compact"/>
            </w:pPr>
            <w:r>
              <w:t>Dealflow qualifié</w:t>
            </w:r>
          </w:p>
        </w:tc>
        <w:tc>
          <w:tcPr>
            <w:tcW w:w="0" w:type="auto"/>
          </w:tcPr>
          <w:p w14:paraId="3B8C9B4C" w14:textId="77777777" w:rsidR="00901B2C" w:rsidRDefault="00056191">
            <w:pPr>
              <w:pStyle w:val="Compact"/>
            </w:pPr>
            <w:r>
              <w:t>V1</w:t>
            </w:r>
          </w:p>
        </w:tc>
        <w:tc>
          <w:tcPr>
            <w:tcW w:w="0" w:type="auto"/>
          </w:tcPr>
          <w:p w14:paraId="1C2E8C4D" w14:textId="77777777" w:rsidR="00901B2C" w:rsidRDefault="00056191">
            <w:pPr>
              <w:pStyle w:val="Compact"/>
            </w:pPr>
            <w:r>
              <w:t>Nécessité d’un pipeline crédible</w:t>
            </w:r>
          </w:p>
        </w:tc>
      </w:tr>
      <w:tr w:rsidR="00901B2C" w14:paraId="774F7C15" w14:textId="77777777">
        <w:tc>
          <w:tcPr>
            <w:tcW w:w="0" w:type="auto"/>
          </w:tcPr>
          <w:p w14:paraId="0051E664" w14:textId="77777777" w:rsidR="00901B2C" w:rsidRDefault="00056191">
            <w:pPr>
              <w:pStyle w:val="Compact"/>
            </w:pPr>
            <w:r>
              <w:t>Sourcing dédié</w:t>
            </w:r>
          </w:p>
        </w:tc>
        <w:tc>
          <w:tcPr>
            <w:tcW w:w="0" w:type="auto"/>
          </w:tcPr>
          <w:p w14:paraId="61003170" w14:textId="77777777" w:rsidR="00901B2C" w:rsidRDefault="00056191">
            <w:pPr>
              <w:pStyle w:val="Compact"/>
            </w:pPr>
            <w:r>
              <w:t>Fonds / co</w:t>
            </w:r>
            <w:r>
              <w:t>rporate / DFI</w:t>
            </w:r>
          </w:p>
        </w:tc>
        <w:tc>
          <w:tcPr>
            <w:tcW w:w="0" w:type="auto"/>
          </w:tcPr>
          <w:p w14:paraId="5F758ED9" w14:textId="77777777" w:rsidR="00901B2C" w:rsidRDefault="00056191">
            <w:pPr>
              <w:pStyle w:val="Compact"/>
            </w:pPr>
            <w:r>
              <w:t>Retainer</w:t>
            </w:r>
          </w:p>
        </w:tc>
        <w:tc>
          <w:tcPr>
            <w:tcW w:w="0" w:type="auto"/>
          </w:tcPr>
          <w:p w14:paraId="3BF5F80B" w14:textId="77777777" w:rsidR="00901B2C" w:rsidRDefault="00056191">
            <w:pPr>
              <w:pStyle w:val="Compact"/>
            </w:pPr>
            <w:r>
              <w:t>Recherche active par thèse</w:t>
            </w:r>
          </w:p>
        </w:tc>
        <w:tc>
          <w:tcPr>
            <w:tcW w:w="0" w:type="auto"/>
          </w:tcPr>
          <w:p w14:paraId="66399656" w14:textId="77777777" w:rsidR="00901B2C" w:rsidRDefault="00056191">
            <w:pPr>
              <w:pStyle w:val="Compact"/>
            </w:pPr>
            <w:r>
              <w:t>V1</w:t>
            </w:r>
          </w:p>
        </w:tc>
        <w:tc>
          <w:tcPr>
            <w:tcW w:w="0" w:type="auto"/>
          </w:tcPr>
          <w:p w14:paraId="4A494100" w14:textId="77777777" w:rsidR="00901B2C" w:rsidRDefault="00056191">
            <w:pPr>
              <w:pStyle w:val="Compact"/>
            </w:pPr>
            <w:r>
              <w:t>Coût humain fort</w:t>
            </w:r>
          </w:p>
        </w:tc>
      </w:tr>
      <w:tr w:rsidR="00901B2C" w14:paraId="09EA8EAA" w14:textId="77777777">
        <w:tc>
          <w:tcPr>
            <w:tcW w:w="0" w:type="auto"/>
          </w:tcPr>
          <w:p w14:paraId="3F581EBA" w14:textId="77777777" w:rsidR="00901B2C" w:rsidRDefault="00056191">
            <w:pPr>
              <w:pStyle w:val="Compact"/>
            </w:pPr>
            <w:r>
              <w:t>Due diligence premium</w:t>
            </w:r>
          </w:p>
        </w:tc>
        <w:tc>
          <w:tcPr>
            <w:tcW w:w="0" w:type="auto"/>
          </w:tcPr>
          <w:p w14:paraId="329F8B08" w14:textId="77777777" w:rsidR="00901B2C" w:rsidRDefault="00056191">
            <w:pPr>
              <w:pStyle w:val="Compact"/>
            </w:pPr>
            <w:r>
              <w:t>Investisseur ou entrepreneur</w:t>
            </w:r>
          </w:p>
        </w:tc>
        <w:tc>
          <w:tcPr>
            <w:tcW w:w="0" w:type="auto"/>
          </w:tcPr>
          <w:p w14:paraId="2DA573FF" w14:textId="77777777" w:rsidR="00901B2C" w:rsidRDefault="00056191">
            <w:pPr>
              <w:pStyle w:val="Compact"/>
            </w:pPr>
            <w:r>
              <w:t>Par dossier</w:t>
            </w:r>
          </w:p>
        </w:tc>
        <w:tc>
          <w:tcPr>
            <w:tcW w:w="0" w:type="auto"/>
          </w:tcPr>
          <w:p w14:paraId="3F5FB90E" w14:textId="77777777" w:rsidR="00901B2C" w:rsidRDefault="00056191">
            <w:pPr>
              <w:pStyle w:val="Compact"/>
            </w:pPr>
            <w:r>
              <w:t>Analyse financière, fiscale, ESG</w:t>
            </w:r>
          </w:p>
        </w:tc>
        <w:tc>
          <w:tcPr>
            <w:tcW w:w="0" w:type="auto"/>
          </w:tcPr>
          <w:p w14:paraId="564B297F" w14:textId="77777777" w:rsidR="00901B2C" w:rsidRDefault="00056191">
            <w:pPr>
              <w:pStyle w:val="Compact"/>
            </w:pPr>
            <w:r>
              <w:t>V1/V2</w:t>
            </w:r>
          </w:p>
        </w:tc>
        <w:tc>
          <w:tcPr>
            <w:tcW w:w="0" w:type="auto"/>
          </w:tcPr>
          <w:p w14:paraId="1C83DE0E" w14:textId="77777777" w:rsidR="00901B2C" w:rsidRDefault="00056191">
            <w:pPr>
              <w:pStyle w:val="Compact"/>
            </w:pPr>
            <w:r>
              <w:t>Responsabilité accrue</w:t>
            </w:r>
          </w:p>
        </w:tc>
      </w:tr>
      <w:tr w:rsidR="00901B2C" w14:paraId="4F7C5162" w14:textId="77777777">
        <w:tc>
          <w:tcPr>
            <w:tcW w:w="0" w:type="auto"/>
          </w:tcPr>
          <w:p w14:paraId="066FBF7E" w14:textId="77777777" w:rsidR="00901B2C" w:rsidRDefault="00056191">
            <w:pPr>
              <w:pStyle w:val="Compact"/>
            </w:pPr>
            <w:r>
              <w:t>Data room fee</w:t>
            </w:r>
          </w:p>
        </w:tc>
        <w:tc>
          <w:tcPr>
            <w:tcW w:w="0" w:type="auto"/>
          </w:tcPr>
          <w:p w14:paraId="0811ECF0" w14:textId="77777777" w:rsidR="00901B2C" w:rsidRDefault="00056191">
            <w:pPr>
              <w:pStyle w:val="Compact"/>
            </w:pPr>
            <w:r>
              <w:t>Entrepreneur ou investisseur</w:t>
            </w:r>
          </w:p>
        </w:tc>
        <w:tc>
          <w:tcPr>
            <w:tcW w:w="0" w:type="auto"/>
          </w:tcPr>
          <w:p w14:paraId="32BB7474" w14:textId="77777777" w:rsidR="00901B2C" w:rsidRDefault="00056191">
            <w:pPr>
              <w:pStyle w:val="Compact"/>
            </w:pPr>
            <w:r>
              <w:t>Par deal / mois</w:t>
            </w:r>
          </w:p>
        </w:tc>
        <w:tc>
          <w:tcPr>
            <w:tcW w:w="0" w:type="auto"/>
          </w:tcPr>
          <w:p w14:paraId="5C6F41A2" w14:textId="77777777" w:rsidR="00901B2C" w:rsidRDefault="00056191">
            <w:pPr>
              <w:pStyle w:val="Compact"/>
            </w:pPr>
            <w:r>
              <w:t>Sécurisation documentaire</w:t>
            </w:r>
          </w:p>
        </w:tc>
        <w:tc>
          <w:tcPr>
            <w:tcW w:w="0" w:type="auto"/>
          </w:tcPr>
          <w:p w14:paraId="3335C63C" w14:textId="77777777" w:rsidR="00901B2C" w:rsidRDefault="00056191">
            <w:pPr>
              <w:pStyle w:val="Compact"/>
            </w:pPr>
            <w:r>
              <w:t>V1</w:t>
            </w:r>
          </w:p>
        </w:tc>
        <w:tc>
          <w:tcPr>
            <w:tcW w:w="0" w:type="auto"/>
          </w:tcPr>
          <w:p w14:paraId="3102B23B" w14:textId="77777777" w:rsidR="00901B2C" w:rsidRDefault="00056191">
            <w:pPr>
              <w:pStyle w:val="Compact"/>
            </w:pPr>
            <w:r>
              <w:t>Exigence sécurité/support</w:t>
            </w:r>
          </w:p>
        </w:tc>
      </w:tr>
      <w:tr w:rsidR="00901B2C" w14:paraId="6AD9F1AA" w14:textId="77777777">
        <w:tc>
          <w:tcPr>
            <w:tcW w:w="0" w:type="auto"/>
          </w:tcPr>
          <w:p w14:paraId="6F4AEF2C" w14:textId="77777777" w:rsidR="00901B2C" w:rsidRDefault="00056191">
            <w:pPr>
              <w:pStyle w:val="Compact"/>
            </w:pPr>
            <w:r>
              <w:t xml:space="preserve">Programme </w:t>
            </w:r>
            <w:r>
              <w:lastRenderedPageBreak/>
              <w:t>sponsorisé</w:t>
            </w:r>
          </w:p>
        </w:tc>
        <w:tc>
          <w:tcPr>
            <w:tcW w:w="0" w:type="auto"/>
          </w:tcPr>
          <w:p w14:paraId="28C64B45" w14:textId="77777777" w:rsidR="00901B2C" w:rsidRDefault="00056191">
            <w:pPr>
              <w:pStyle w:val="Compact"/>
            </w:pPr>
            <w:r>
              <w:lastRenderedPageBreak/>
              <w:t>Banque/DFI/instituti</w:t>
            </w:r>
            <w:r>
              <w:lastRenderedPageBreak/>
              <w:t>on</w:t>
            </w:r>
          </w:p>
        </w:tc>
        <w:tc>
          <w:tcPr>
            <w:tcW w:w="0" w:type="auto"/>
          </w:tcPr>
          <w:p w14:paraId="5A425947" w14:textId="77777777" w:rsidR="00901B2C" w:rsidRDefault="00056191">
            <w:pPr>
              <w:pStyle w:val="Compact"/>
            </w:pPr>
            <w:r>
              <w:lastRenderedPageBreak/>
              <w:t xml:space="preserve">Contrat </w:t>
            </w:r>
            <w:r>
              <w:lastRenderedPageBreak/>
              <w:t>programme</w:t>
            </w:r>
          </w:p>
        </w:tc>
        <w:tc>
          <w:tcPr>
            <w:tcW w:w="0" w:type="auto"/>
          </w:tcPr>
          <w:p w14:paraId="3E67D003" w14:textId="77777777" w:rsidR="00901B2C" w:rsidRDefault="00056191">
            <w:pPr>
              <w:pStyle w:val="Compact"/>
            </w:pPr>
            <w:r>
              <w:lastRenderedPageBreak/>
              <w:t xml:space="preserve">Cohortes PME, </w:t>
            </w:r>
            <w:r>
              <w:lastRenderedPageBreak/>
              <w:t>pipeline qualifié</w:t>
            </w:r>
          </w:p>
        </w:tc>
        <w:tc>
          <w:tcPr>
            <w:tcW w:w="0" w:type="auto"/>
          </w:tcPr>
          <w:p w14:paraId="2FA3C70D" w14:textId="77777777" w:rsidR="00901B2C" w:rsidRDefault="00056191">
            <w:pPr>
              <w:pStyle w:val="Compact"/>
            </w:pPr>
            <w:r>
              <w:lastRenderedPageBreak/>
              <w:t>V2</w:t>
            </w:r>
          </w:p>
        </w:tc>
        <w:tc>
          <w:tcPr>
            <w:tcW w:w="0" w:type="auto"/>
          </w:tcPr>
          <w:p w14:paraId="39180DE6" w14:textId="77777777" w:rsidR="00901B2C" w:rsidRDefault="00056191">
            <w:pPr>
              <w:pStyle w:val="Compact"/>
            </w:pPr>
            <w:r>
              <w:t xml:space="preserve">Complexité </w:t>
            </w:r>
            <w:r>
              <w:lastRenderedPageBreak/>
              <w:t>opérationnelle</w:t>
            </w:r>
          </w:p>
        </w:tc>
      </w:tr>
      <w:tr w:rsidR="00901B2C" w14:paraId="04536113" w14:textId="77777777">
        <w:tc>
          <w:tcPr>
            <w:tcW w:w="0" w:type="auto"/>
          </w:tcPr>
          <w:p w14:paraId="4619010A" w14:textId="77777777" w:rsidR="00901B2C" w:rsidRDefault="00056191">
            <w:pPr>
              <w:pStyle w:val="Compact"/>
            </w:pPr>
            <w:r>
              <w:lastRenderedPageBreak/>
              <w:t>Rapports anonymisés</w:t>
            </w:r>
          </w:p>
        </w:tc>
        <w:tc>
          <w:tcPr>
            <w:tcW w:w="0" w:type="auto"/>
          </w:tcPr>
          <w:p w14:paraId="4849C741" w14:textId="77777777" w:rsidR="00901B2C" w:rsidRDefault="00056191">
            <w:pPr>
              <w:pStyle w:val="Compact"/>
            </w:pPr>
            <w:r>
              <w:t>Investisseu</w:t>
            </w:r>
            <w:r>
              <w:t>rs, banques, institutions</w:t>
            </w:r>
          </w:p>
        </w:tc>
        <w:tc>
          <w:tcPr>
            <w:tcW w:w="0" w:type="auto"/>
          </w:tcPr>
          <w:p w14:paraId="516DF4A9" w14:textId="77777777" w:rsidR="00901B2C" w:rsidRDefault="00056191">
            <w:pPr>
              <w:pStyle w:val="Compact"/>
            </w:pPr>
            <w:r>
              <w:t>Abonnement / rapport</w:t>
            </w:r>
          </w:p>
        </w:tc>
        <w:tc>
          <w:tcPr>
            <w:tcW w:w="0" w:type="auto"/>
          </w:tcPr>
          <w:p w14:paraId="024FCE64" w14:textId="77777777" w:rsidR="00901B2C" w:rsidRDefault="00056191">
            <w:pPr>
              <w:pStyle w:val="Compact"/>
            </w:pPr>
            <w:r>
              <w:t>Market intelligence</w:t>
            </w:r>
          </w:p>
        </w:tc>
        <w:tc>
          <w:tcPr>
            <w:tcW w:w="0" w:type="auto"/>
          </w:tcPr>
          <w:p w14:paraId="4AAD8162" w14:textId="77777777" w:rsidR="00901B2C" w:rsidRDefault="00056191">
            <w:pPr>
              <w:pStyle w:val="Compact"/>
            </w:pPr>
            <w:r>
              <w:t>V2</w:t>
            </w:r>
          </w:p>
        </w:tc>
        <w:tc>
          <w:tcPr>
            <w:tcW w:w="0" w:type="auto"/>
          </w:tcPr>
          <w:p w14:paraId="7D496923" w14:textId="77777777" w:rsidR="00901B2C" w:rsidRDefault="00056191">
            <w:pPr>
              <w:pStyle w:val="Compact"/>
            </w:pPr>
            <w:r>
              <w:t>Gouvernance des données</w:t>
            </w:r>
          </w:p>
        </w:tc>
      </w:tr>
    </w:tbl>
    <w:p w14:paraId="0DBFC509" w14:textId="77777777" w:rsidR="00901B2C" w:rsidRDefault="00056191">
      <w:pPr>
        <w:pStyle w:val="Corpsdetexte"/>
      </w:pPr>
      <w:r>
        <w:t>Cette structure de revenus est cohérente avec les dynamiques observées du côté des institutions de développement. L’AfDB explique que son Africa SME Program vise à réduire les défaillances d’offre et de demande de financement entre institutions financières</w:t>
      </w:r>
      <w:r>
        <w:t xml:space="preserve"> et PME ; l’IFC rappelle qu’elle finance massivement les MSME via des intermédiaires et des outils dédiés. En pratique, cela signifie qu’au-delà des clients directs, votre plateforme peut aussi devenir une </w:t>
      </w:r>
      <w:r>
        <w:rPr>
          <w:b/>
          <w:bCs/>
        </w:rPr>
        <w:t>infrastructure de programme</w:t>
      </w:r>
      <w:r>
        <w:t xml:space="preserve"> pour une banque, une D</w:t>
      </w:r>
      <w:r>
        <w:t xml:space="preserve">FI ou une agence d’appui à l’entrepreneuriat. </w:t>
      </w:r>
      <w:hyperlink r:id="rId21">
        <w:r>
          <w:rPr>
            <w:rStyle w:val="Lienhypertexte"/>
          </w:rPr>
          <w:t>[7]</w:t>
        </w:r>
      </w:hyperlink>
    </w:p>
    <w:p w14:paraId="10F6A76A" w14:textId="77777777" w:rsidR="00901B2C" w:rsidRDefault="00056191">
      <w:pPr>
        <w:pStyle w:val="Titre3"/>
      </w:pPr>
      <w:bookmarkStart w:id="9" w:name="mvp-en-quatre-lots"/>
      <w:r>
        <w:t>MVP en quatre lots</w:t>
      </w:r>
    </w:p>
    <w:p w14:paraId="61814960" w14:textId="77777777" w:rsidR="00901B2C" w:rsidRDefault="00056191">
      <w:pPr>
        <w:pStyle w:val="FirstParagraph"/>
      </w:pPr>
      <w:r>
        <w:t>Le MVP recommandé doit viser une logique de preuve de valeur progressive.</w:t>
      </w:r>
    </w:p>
    <w:tbl>
      <w:tblPr>
        <w:tblStyle w:val="Table"/>
        <w:tblW w:w="0" w:type="auto"/>
        <w:tblLook w:val="0020" w:firstRow="1" w:lastRow="0" w:firstColumn="0" w:lastColumn="0" w:noHBand="0" w:noVBand="0"/>
      </w:tblPr>
      <w:tblGrid>
        <w:gridCol w:w="1818"/>
        <w:gridCol w:w="2407"/>
        <w:gridCol w:w="1849"/>
        <w:gridCol w:w="1389"/>
        <w:gridCol w:w="2159"/>
      </w:tblGrid>
      <w:tr w:rsidR="00901B2C" w14:paraId="223F3228" w14:textId="77777777" w:rsidTr="00901B2C">
        <w:trPr>
          <w:cnfStyle w:val="100000000000" w:firstRow="1" w:lastRow="0" w:firstColumn="0" w:lastColumn="0" w:oddVBand="0" w:evenVBand="0" w:oddHBand="0" w:evenHBand="0" w:firstRowFirstColumn="0" w:firstRowLastColumn="0" w:lastRowFirstColumn="0" w:lastRowLastColumn="0"/>
          <w:tblHeader/>
        </w:trPr>
        <w:tc>
          <w:tcPr>
            <w:tcW w:w="0" w:type="auto"/>
          </w:tcPr>
          <w:p w14:paraId="37E8C6BC" w14:textId="77777777" w:rsidR="00901B2C" w:rsidRDefault="00056191">
            <w:pPr>
              <w:pStyle w:val="Compact"/>
            </w:pPr>
            <w:r>
              <w:t>Lot</w:t>
            </w:r>
          </w:p>
        </w:tc>
        <w:tc>
          <w:tcPr>
            <w:tcW w:w="0" w:type="auto"/>
          </w:tcPr>
          <w:p w14:paraId="781CF27C" w14:textId="77777777" w:rsidR="00901B2C" w:rsidRDefault="00056191">
            <w:pPr>
              <w:pStyle w:val="Compact"/>
            </w:pPr>
            <w:r>
              <w:t>Inclus</w:t>
            </w:r>
          </w:p>
        </w:tc>
        <w:tc>
          <w:tcPr>
            <w:tcW w:w="0" w:type="auto"/>
          </w:tcPr>
          <w:p w14:paraId="098F773C" w14:textId="77777777" w:rsidR="00901B2C" w:rsidRDefault="00056191">
            <w:pPr>
              <w:pStyle w:val="Compact"/>
            </w:pPr>
            <w:r>
              <w:t>Exclu au départ</w:t>
            </w:r>
          </w:p>
        </w:tc>
        <w:tc>
          <w:tcPr>
            <w:tcW w:w="0" w:type="auto"/>
          </w:tcPr>
          <w:p w14:paraId="5FDDF9C2" w14:textId="77777777" w:rsidR="00901B2C" w:rsidRDefault="00056191">
            <w:pPr>
              <w:pStyle w:val="Compact"/>
            </w:pPr>
            <w:r>
              <w:t>Objectif métier</w:t>
            </w:r>
          </w:p>
        </w:tc>
        <w:tc>
          <w:tcPr>
            <w:tcW w:w="0" w:type="auto"/>
          </w:tcPr>
          <w:p w14:paraId="61C373D2" w14:textId="77777777" w:rsidR="00901B2C" w:rsidRDefault="00056191">
            <w:pPr>
              <w:pStyle w:val="Compact"/>
            </w:pPr>
            <w:r>
              <w:t>KPI de succès</w:t>
            </w:r>
          </w:p>
        </w:tc>
      </w:tr>
      <w:tr w:rsidR="00901B2C" w14:paraId="3AEB5056" w14:textId="77777777">
        <w:tc>
          <w:tcPr>
            <w:tcW w:w="0" w:type="auto"/>
          </w:tcPr>
          <w:p w14:paraId="6D73ED76" w14:textId="77777777" w:rsidR="00901B2C" w:rsidRDefault="00056191">
            <w:pPr>
              <w:pStyle w:val="Compact"/>
            </w:pPr>
            <w:r>
              <w:t>Diagnostic entrepreneur et scoring</w:t>
            </w:r>
          </w:p>
        </w:tc>
        <w:tc>
          <w:tcPr>
            <w:tcW w:w="0" w:type="auto"/>
          </w:tcPr>
          <w:p w14:paraId="1369CC45" w14:textId="77777777" w:rsidR="00901B2C" w:rsidRDefault="00056191">
            <w:pPr>
              <w:pStyle w:val="Compact"/>
            </w:pPr>
            <w:r>
              <w:t>Compte, questionnaire, upload minimal, score, mini rapport, recommandations</w:t>
            </w:r>
          </w:p>
        </w:tc>
        <w:tc>
          <w:tcPr>
            <w:tcW w:w="0" w:type="auto"/>
          </w:tcPr>
          <w:p w14:paraId="5CCE250B" w14:textId="77777777" w:rsidR="00901B2C" w:rsidRDefault="00056191">
            <w:pPr>
              <w:pStyle w:val="Compact"/>
            </w:pPr>
            <w:r>
              <w:t>DD avancée, I</w:t>
            </w:r>
            <w:r>
              <w:t>A complexe, data room complète</w:t>
            </w:r>
          </w:p>
        </w:tc>
        <w:tc>
          <w:tcPr>
            <w:tcW w:w="0" w:type="auto"/>
          </w:tcPr>
          <w:p w14:paraId="6B6FF6C1" w14:textId="77777777" w:rsidR="00901B2C" w:rsidRDefault="00056191">
            <w:pPr>
              <w:pStyle w:val="Compact"/>
            </w:pPr>
            <w:r>
              <w:t>Générer et qualifier la demande</w:t>
            </w:r>
          </w:p>
        </w:tc>
        <w:tc>
          <w:tcPr>
            <w:tcW w:w="0" w:type="auto"/>
          </w:tcPr>
          <w:p w14:paraId="415A2933" w14:textId="77777777" w:rsidR="00901B2C" w:rsidRDefault="00056191">
            <w:pPr>
              <w:pStyle w:val="Compact"/>
            </w:pPr>
            <w:r>
              <w:t>nombre d’inscriptions, taux de complétion, taux de qualification, conversion vers diagnostic payant</w:t>
            </w:r>
          </w:p>
        </w:tc>
      </w:tr>
      <w:tr w:rsidR="00901B2C" w14:paraId="08610F29" w14:textId="77777777">
        <w:tc>
          <w:tcPr>
            <w:tcW w:w="0" w:type="auto"/>
          </w:tcPr>
          <w:p w14:paraId="7075BFAB" w14:textId="77777777" w:rsidR="00901B2C" w:rsidRDefault="00056191">
            <w:pPr>
              <w:pStyle w:val="Compact"/>
            </w:pPr>
            <w:r>
              <w:t>Base investisseurs et matching</w:t>
            </w:r>
          </w:p>
        </w:tc>
        <w:tc>
          <w:tcPr>
            <w:tcW w:w="0" w:type="auto"/>
          </w:tcPr>
          <w:p w14:paraId="7046E773" w14:textId="77777777" w:rsidR="00901B2C" w:rsidRDefault="00056191">
            <w:pPr>
              <w:pStyle w:val="Compact"/>
            </w:pPr>
            <w:r>
              <w:t>Référentiel investisseurs, critères, shortlist, scoring de fit</w:t>
            </w:r>
          </w:p>
        </w:tc>
        <w:tc>
          <w:tcPr>
            <w:tcW w:w="0" w:type="auto"/>
          </w:tcPr>
          <w:p w14:paraId="6B2A0902" w14:textId="77777777" w:rsidR="00901B2C" w:rsidRDefault="00056191">
            <w:pPr>
              <w:pStyle w:val="Compact"/>
            </w:pPr>
            <w:r>
              <w:t>API externe, auto-matching très sophistiqué</w:t>
            </w:r>
          </w:p>
        </w:tc>
        <w:tc>
          <w:tcPr>
            <w:tcW w:w="0" w:type="auto"/>
          </w:tcPr>
          <w:p w14:paraId="46A870A9" w14:textId="77777777" w:rsidR="00901B2C" w:rsidRDefault="00056191">
            <w:pPr>
              <w:pStyle w:val="Compact"/>
            </w:pPr>
            <w:r>
              <w:t>Produire des matchings pertinents</w:t>
            </w:r>
          </w:p>
        </w:tc>
        <w:tc>
          <w:tcPr>
            <w:tcW w:w="0" w:type="auto"/>
          </w:tcPr>
          <w:p w14:paraId="46F6E2A1" w14:textId="77777777" w:rsidR="00901B2C" w:rsidRDefault="00056191">
            <w:pPr>
              <w:pStyle w:val="Compact"/>
            </w:pPr>
            <w:r>
              <w:t>taux d’intérêt investisseur, taux de rejet pour mauvais fit</w:t>
            </w:r>
          </w:p>
        </w:tc>
      </w:tr>
      <w:tr w:rsidR="00901B2C" w14:paraId="30DE79CB" w14:textId="77777777">
        <w:tc>
          <w:tcPr>
            <w:tcW w:w="0" w:type="auto"/>
          </w:tcPr>
          <w:p w14:paraId="0E8F551D" w14:textId="77777777" w:rsidR="00901B2C" w:rsidRDefault="00056191">
            <w:pPr>
              <w:pStyle w:val="Compact"/>
            </w:pPr>
            <w:r>
              <w:t>Teaser, NDA et data room légère</w:t>
            </w:r>
          </w:p>
        </w:tc>
        <w:tc>
          <w:tcPr>
            <w:tcW w:w="0" w:type="auto"/>
          </w:tcPr>
          <w:p w14:paraId="2BC0FC5F" w14:textId="77777777" w:rsidR="00901B2C" w:rsidRDefault="00056191">
            <w:pPr>
              <w:pStyle w:val="Compact"/>
            </w:pPr>
            <w:r>
              <w:t xml:space="preserve">Générateur de teaser, </w:t>
            </w:r>
            <w:r>
              <w:t>anonymisation, workflow d’intérêt, NDA, VDR simple</w:t>
            </w:r>
          </w:p>
        </w:tc>
        <w:tc>
          <w:tcPr>
            <w:tcW w:w="0" w:type="auto"/>
          </w:tcPr>
          <w:p w14:paraId="259EA340" w14:textId="77777777" w:rsidR="00901B2C" w:rsidRDefault="00056191">
            <w:pPr>
              <w:pStyle w:val="Compact"/>
            </w:pPr>
            <w:r>
              <w:t>redaction avancée, automation documentaire lourde</w:t>
            </w:r>
          </w:p>
        </w:tc>
        <w:tc>
          <w:tcPr>
            <w:tcW w:w="0" w:type="auto"/>
          </w:tcPr>
          <w:p w14:paraId="51E9A6D1" w14:textId="77777777" w:rsidR="00901B2C" w:rsidRDefault="00056191">
            <w:pPr>
              <w:pStyle w:val="Compact"/>
            </w:pPr>
            <w:r>
              <w:t>Sécuriser le passage vers l’analyse</w:t>
            </w:r>
          </w:p>
        </w:tc>
        <w:tc>
          <w:tcPr>
            <w:tcW w:w="0" w:type="auto"/>
          </w:tcPr>
          <w:p w14:paraId="0BB16E3B" w14:textId="77777777" w:rsidR="00901B2C" w:rsidRDefault="00056191">
            <w:pPr>
              <w:pStyle w:val="Compact"/>
            </w:pPr>
            <w:r>
              <w:t>taux de NDA, taux d’ouverture VDR</w:t>
            </w:r>
          </w:p>
        </w:tc>
      </w:tr>
      <w:tr w:rsidR="00901B2C" w14:paraId="32A4A067" w14:textId="77777777">
        <w:tc>
          <w:tcPr>
            <w:tcW w:w="0" w:type="auto"/>
          </w:tcPr>
          <w:p w14:paraId="61F3289A" w14:textId="77777777" w:rsidR="00901B2C" w:rsidRDefault="00056191">
            <w:pPr>
              <w:pStyle w:val="Compact"/>
            </w:pPr>
            <w:r>
              <w:t>Pipeline transactionnel et reporting cabinet</w:t>
            </w:r>
          </w:p>
        </w:tc>
        <w:tc>
          <w:tcPr>
            <w:tcW w:w="0" w:type="auto"/>
          </w:tcPr>
          <w:p w14:paraId="48697D34" w14:textId="77777777" w:rsidR="00901B2C" w:rsidRDefault="00056191">
            <w:pPr>
              <w:pStyle w:val="Compact"/>
            </w:pPr>
            <w:r>
              <w:t>Statuts, tâches, relances, feedback, re</w:t>
            </w:r>
            <w:r>
              <w:t>porting revenus</w:t>
            </w:r>
          </w:p>
        </w:tc>
        <w:tc>
          <w:tcPr>
            <w:tcW w:w="0" w:type="auto"/>
          </w:tcPr>
          <w:p w14:paraId="11F504E4" w14:textId="77777777" w:rsidR="00901B2C" w:rsidRDefault="00056191">
            <w:pPr>
              <w:pStyle w:val="Compact"/>
            </w:pPr>
            <w:r>
              <w:t>ERP complet, comptabilité approfondie</w:t>
            </w:r>
          </w:p>
        </w:tc>
        <w:tc>
          <w:tcPr>
            <w:tcW w:w="0" w:type="auto"/>
          </w:tcPr>
          <w:p w14:paraId="7FC95FDD" w14:textId="77777777" w:rsidR="00901B2C" w:rsidRDefault="00056191">
            <w:pPr>
              <w:pStyle w:val="Compact"/>
            </w:pPr>
            <w:r>
              <w:t>Piloter les mandats et le closing</w:t>
            </w:r>
          </w:p>
        </w:tc>
        <w:tc>
          <w:tcPr>
            <w:tcW w:w="0" w:type="auto"/>
          </w:tcPr>
          <w:p w14:paraId="6B6F9499" w14:textId="77777777" w:rsidR="00901B2C" w:rsidRDefault="00056191">
            <w:pPr>
              <w:pStyle w:val="Compact"/>
            </w:pPr>
            <w:r>
              <w:t>taux de term sheet, taux de closing, temps moyen onboarding-closing</w:t>
            </w:r>
          </w:p>
        </w:tc>
      </w:tr>
    </w:tbl>
    <w:p w14:paraId="70AA5BC4" w14:textId="77777777" w:rsidR="00901B2C" w:rsidRDefault="00056191">
      <w:pPr>
        <w:pStyle w:val="Corpsdetexte"/>
      </w:pPr>
      <w:r>
        <w:t>Cette priorisation répond bien à la réalité du marché. Les usages mobiles et la diversité des nivea</w:t>
      </w:r>
      <w:r>
        <w:t xml:space="preserve">ux de maturité documentaire imposent une entrée simple ; la sélectivité des investisseurs </w:t>
      </w:r>
      <w:r>
        <w:lastRenderedPageBreak/>
        <w:t xml:space="preserve">impose un matching clair ; la réglementation et la confidentialité imposent ensuite un passage contrôlé vers le partage d’information et la diligence. </w:t>
      </w:r>
      <w:hyperlink r:id="rId22">
        <w:r>
          <w:rPr>
            <w:rStyle w:val="Lienhypertexte"/>
          </w:rPr>
          <w:t>[17]</w:t>
        </w:r>
      </w:hyperlink>
    </w:p>
    <w:p w14:paraId="528F71ED" w14:textId="77777777" w:rsidR="00901B2C" w:rsidRDefault="00056191">
      <w:pPr>
        <w:pStyle w:val="Titre2"/>
      </w:pPr>
      <w:bookmarkStart w:id="10" w:name="règles-de-gestion-conformité-et-sécurité"/>
      <w:bookmarkEnd w:id="8"/>
      <w:bookmarkEnd w:id="9"/>
      <w:r>
        <w:t>Règles de gestion, conformité et sécurité</w:t>
      </w:r>
    </w:p>
    <w:p w14:paraId="64127786" w14:textId="77777777" w:rsidR="00901B2C" w:rsidRDefault="00056191">
      <w:pPr>
        <w:pStyle w:val="FirstParagraph"/>
      </w:pPr>
      <w:r>
        <w:t>Les règles de gestion doivent être définies tôt, parce qu’elles condit</w:t>
      </w:r>
      <w:r>
        <w:t>ionnent tout le reste : l’UX, la donnée, la monétisation, la sécurité et même la formulation commerciale. Sur un projet comme le vôtre, les principales règles de gestion ne sont pas des détails techniques ; ce sont des choix de politique produit.</w:t>
      </w:r>
    </w:p>
    <w:p w14:paraId="33803522" w14:textId="77777777" w:rsidR="00901B2C" w:rsidRDefault="00056191">
      <w:pPr>
        <w:pStyle w:val="Titre3"/>
      </w:pPr>
      <w:bookmarkStart w:id="11" w:name="règles-déligibilité-et-de-scoring"/>
      <w:r>
        <w:t>Règles d’</w:t>
      </w:r>
      <w:r>
        <w:t>éligibilité et de scoring</w:t>
      </w:r>
    </w:p>
    <w:p w14:paraId="588330F1" w14:textId="77777777" w:rsidR="00901B2C" w:rsidRDefault="00056191">
      <w:pPr>
        <w:pStyle w:val="FirstParagraph"/>
      </w:pPr>
      <w:r>
        <w:t xml:space="preserve">Je recommande de formaliser dès le départ des </w:t>
      </w:r>
      <w:r>
        <w:rPr>
          <w:b/>
          <w:bCs/>
        </w:rPr>
        <w:t>seuils d’entrée</w:t>
      </w:r>
      <w:r>
        <w:t xml:space="preserve"> </w:t>
      </w:r>
      <w:r>
        <w:t>par pays, secteur, besoin de financement minimum, ancienneté, disponibilité documentaire et cohérence du besoin. Tous les dossiers ne doivent pas entrer dans le pipeline investisseur. Cette discipline est directement liée à la qualité de l’accès au finance</w:t>
      </w:r>
      <w:r>
        <w:t xml:space="preserve">ment pour les PME : la Banque mondiale note que les PME de la région souffrent souvent d’un déficit de documentation et de crédibilité vis-à-vis des prêteurs ; le rôle du scoring est précisément de transformer cet obstacle en workflow gérable. </w:t>
      </w:r>
      <w:hyperlink r:id="rId23">
        <w:r>
          <w:rPr>
            <w:rStyle w:val="Lienhypertexte"/>
          </w:rPr>
          <w:t>[18]</w:t>
        </w:r>
      </w:hyperlink>
    </w:p>
    <w:p w14:paraId="3BF9745A" w14:textId="77777777" w:rsidR="00901B2C" w:rsidRDefault="00056191">
      <w:pPr>
        <w:pStyle w:val="Titre3"/>
      </w:pPr>
      <w:bookmarkStart w:id="12" w:name="règles-de-matching"/>
      <w:bookmarkEnd w:id="11"/>
      <w:r>
        <w:t>Règles de matching</w:t>
      </w:r>
    </w:p>
    <w:p w14:paraId="6BF182A0" w14:textId="77777777" w:rsidR="00901B2C" w:rsidRDefault="00056191">
      <w:pPr>
        <w:pStyle w:val="FirstParagraph"/>
      </w:pPr>
      <w:r>
        <w:t xml:space="preserve">Le matching doit combiner </w:t>
      </w:r>
      <w:r>
        <w:rPr>
          <w:b/>
          <w:bCs/>
        </w:rPr>
        <w:t>filtres durs</w:t>
      </w:r>
      <w:r>
        <w:t xml:space="preserve"> et </w:t>
      </w:r>
      <w:r>
        <w:rPr>
          <w:b/>
          <w:bCs/>
        </w:rPr>
        <w:t>score souple</w:t>
      </w:r>
      <w:r>
        <w:t>. Les filtres durs couvrent le pa</w:t>
      </w:r>
      <w:r>
        <w:t xml:space="preserve">ys, le secteur, le ticket, l’instrument et les exclusions. Le score souple couvre la qualité financière, la qualité documentaire, le stade, l’impact/ESG, la gouvernance et l’appétence historique des investisseurs. Cette logique reflète ce que les éditeurs </w:t>
      </w:r>
      <w:r>
        <w:t xml:space="preserve">spécialisés mettent en avant : Affinity insiste sur la relation intelligence et le sourcing ciblé ; DealCloud et Dynamo sur les workflows, le pipeline et l’orchestration bout en bout. </w:t>
      </w:r>
      <w:hyperlink r:id="rId24">
        <w:r>
          <w:rPr>
            <w:rStyle w:val="Lienhypertexte"/>
          </w:rPr>
          <w:t>[19]</w:t>
        </w:r>
      </w:hyperlink>
    </w:p>
    <w:p w14:paraId="2B2D1D7A" w14:textId="77777777" w:rsidR="00901B2C" w:rsidRDefault="00056191">
      <w:pPr>
        <w:pStyle w:val="Titre3"/>
      </w:pPr>
      <w:bookmarkStart w:id="13" w:name="X53d9f75936c1b5881ca868830bb7276c4b1ef07"/>
      <w:bookmarkEnd w:id="12"/>
      <w:r>
        <w:t>Confidentialité, anonymisation et accès gradué</w:t>
      </w:r>
    </w:p>
    <w:p w14:paraId="7CD093C7" w14:textId="77777777" w:rsidR="00901B2C" w:rsidRDefault="00056191">
      <w:pPr>
        <w:pStyle w:val="FirstParagraph"/>
      </w:pPr>
      <w:r>
        <w:t xml:space="preserve">Avant NDA, les opportunités doivent être visibles sous forme de </w:t>
      </w:r>
      <w:r>
        <w:rPr>
          <w:b/>
          <w:bCs/>
        </w:rPr>
        <w:t>teasers anonymisés</w:t>
      </w:r>
      <w:r>
        <w:t>. Le nom de l’entreprise, les éléments trop identifiants ou les documents détaillés ne doivent être accessibles qu’après consen</w:t>
      </w:r>
      <w:r>
        <w:t>tement de l’entrepreneur, intérêt formalisé de l’investisseur, puis NDA. Cette discipline n’est pas seulement une bonne pratique ; elle est cohérente avec le fait que les offres publiques et les documents d’information sont régulés dans l’UEMOA et la CEMAC</w:t>
      </w:r>
      <w:r>
        <w:t xml:space="preserve">, alors que le placement privé suppose une autre logique de protection et d’évaluation par l’investisseur. </w:t>
      </w:r>
      <w:hyperlink r:id="rId25">
        <w:r>
          <w:rPr>
            <w:rStyle w:val="Lienhypertexte"/>
          </w:rPr>
          <w:t>[20]</w:t>
        </w:r>
      </w:hyperlink>
    </w:p>
    <w:p w14:paraId="68C23DEA" w14:textId="77777777" w:rsidR="00901B2C" w:rsidRDefault="00056191">
      <w:pPr>
        <w:pStyle w:val="Titre3"/>
      </w:pPr>
      <w:bookmarkStart w:id="14" w:name="X9bbad54dc767026501ae620798ccbf1c4aeaad2"/>
      <w:bookmarkEnd w:id="13"/>
      <w:r>
        <w:t>KYC, KYB, AML et qualification des investisseurs</w:t>
      </w:r>
    </w:p>
    <w:p w14:paraId="7ECE2753" w14:textId="77777777" w:rsidR="00901B2C" w:rsidRDefault="00056191">
      <w:pPr>
        <w:pStyle w:val="FirstParagraph"/>
      </w:pPr>
      <w:r>
        <w:t>La qualification des acteurs doit être prévue des deux côtés. Côté entrepreneurs : identité lég</w:t>
      </w:r>
      <w:r>
        <w:t>ale, actionnariat, bénéficiaires effectifs, licences, réputation et historique. Côté investisseurs : type d’acteur, capacité d’investissement, juridiction, contacts autorisés et réputation. Pour cela, il est rationnel d’intégrer une brique de screening ext</w:t>
      </w:r>
      <w:r>
        <w:t xml:space="preserve">erne. LSEG World-Check se positionne explicitement sur le KYC screening et la due diligence des tiers, avec screening sanctions, PEP et adverse media ; Moody’s Grid couvre sanctions, watchlists, PEP et due diligence continue. Pour </w:t>
      </w:r>
      <w:r>
        <w:lastRenderedPageBreak/>
        <w:t>un cabinet qui veut trava</w:t>
      </w:r>
      <w:r>
        <w:t xml:space="preserve">iller avec des PE, des banques et potentiellement des DFI, cette brique n’est pas optionnelle. </w:t>
      </w:r>
      <w:hyperlink r:id="rId26">
        <w:r>
          <w:rPr>
            <w:rStyle w:val="Lienhypertexte"/>
          </w:rPr>
          <w:t>[21]</w:t>
        </w:r>
      </w:hyperlink>
    </w:p>
    <w:p w14:paraId="45C79BE1" w14:textId="77777777" w:rsidR="00901B2C" w:rsidRDefault="00056191">
      <w:pPr>
        <w:pStyle w:val="Titre3"/>
      </w:pPr>
      <w:bookmarkStart w:id="15" w:name="data-room-et-audit-trail"/>
      <w:bookmarkEnd w:id="14"/>
      <w:r>
        <w:t>Data room et audit trail</w:t>
      </w:r>
    </w:p>
    <w:p w14:paraId="15B3E2FA" w14:textId="77777777" w:rsidR="00901B2C" w:rsidRDefault="00056191">
      <w:pPr>
        <w:pStyle w:val="FirstParagraph"/>
      </w:pPr>
      <w:r>
        <w:t>I</w:t>
      </w:r>
      <w:r>
        <w:t xml:space="preserve">l faut distinguer un espace documentaire générique d’une </w:t>
      </w:r>
      <w:r>
        <w:rPr>
          <w:b/>
          <w:bCs/>
        </w:rPr>
        <w:t>VDR de transaction</w:t>
      </w:r>
      <w:r>
        <w:t xml:space="preserve">. Datasite rappelle qu’une VDR purpose-built offre des permissions granulaires, des audit trails et une sécurité conçue pour les opérations confidentielles, ce qu’un simple partage </w:t>
      </w:r>
      <w:r>
        <w:t xml:space="preserve">de fichiers ne garantit pas. Pour vous, cela signifie que la data room doit au minimum gérer les niveaux d’accès, les logs, le versioning, l’horodatage et la Q&amp;A liée aux documents. </w:t>
      </w:r>
      <w:hyperlink r:id="rId27">
        <w:r>
          <w:rPr>
            <w:rStyle w:val="Lienhypertexte"/>
          </w:rPr>
          <w:t>[22]</w:t>
        </w:r>
      </w:hyperlink>
    </w:p>
    <w:p w14:paraId="31175B4D" w14:textId="77777777" w:rsidR="00901B2C" w:rsidRDefault="00056191">
      <w:pPr>
        <w:pStyle w:val="Titre3"/>
      </w:pPr>
      <w:bookmarkStart w:id="16" w:name="X3b8b9899ba94047f895ff005d6fc3cab0878882"/>
      <w:bookmarkEnd w:id="15"/>
      <w:r>
        <w:t>Principaux risques et mesures de mitigation</w:t>
      </w:r>
    </w:p>
    <w:tbl>
      <w:tblPr>
        <w:tblStyle w:val="Table"/>
        <w:tblW w:w="0" w:type="auto"/>
        <w:tblLook w:val="0020" w:firstRow="1" w:lastRow="0" w:firstColumn="0" w:lastColumn="0" w:noHBand="0" w:noVBand="0"/>
      </w:tblPr>
      <w:tblGrid>
        <w:gridCol w:w="2289"/>
        <w:gridCol w:w="3012"/>
        <w:gridCol w:w="4321"/>
      </w:tblGrid>
      <w:tr w:rsidR="00901B2C" w14:paraId="532FEB07" w14:textId="77777777" w:rsidTr="00901B2C">
        <w:trPr>
          <w:cnfStyle w:val="100000000000" w:firstRow="1" w:lastRow="0" w:firstColumn="0" w:lastColumn="0" w:oddVBand="0" w:evenVBand="0" w:oddHBand="0" w:evenHBand="0" w:firstRowFirstColumn="0" w:firstRowLastColumn="0" w:lastRowFirstColumn="0" w:lastRowLastColumn="0"/>
          <w:tblHeader/>
        </w:trPr>
        <w:tc>
          <w:tcPr>
            <w:tcW w:w="0" w:type="auto"/>
          </w:tcPr>
          <w:p w14:paraId="68166193" w14:textId="77777777" w:rsidR="00901B2C" w:rsidRDefault="00056191">
            <w:pPr>
              <w:pStyle w:val="Compact"/>
            </w:pPr>
            <w:r>
              <w:t>Risque</w:t>
            </w:r>
          </w:p>
        </w:tc>
        <w:tc>
          <w:tcPr>
            <w:tcW w:w="0" w:type="auto"/>
          </w:tcPr>
          <w:p w14:paraId="3DAA44FB" w14:textId="77777777" w:rsidR="00901B2C" w:rsidRDefault="00056191">
            <w:pPr>
              <w:pStyle w:val="Compact"/>
            </w:pPr>
            <w:r>
              <w:t>Pourquoi il est critique</w:t>
            </w:r>
          </w:p>
        </w:tc>
        <w:tc>
          <w:tcPr>
            <w:tcW w:w="0" w:type="auto"/>
          </w:tcPr>
          <w:p w14:paraId="48251F55" w14:textId="77777777" w:rsidR="00901B2C" w:rsidRDefault="00056191">
            <w:pPr>
              <w:pStyle w:val="Compact"/>
            </w:pPr>
            <w:r>
              <w:t>Mesure de mitigation recommandée</w:t>
            </w:r>
          </w:p>
        </w:tc>
      </w:tr>
      <w:tr w:rsidR="00901B2C" w14:paraId="19206C28" w14:textId="77777777">
        <w:tc>
          <w:tcPr>
            <w:tcW w:w="0" w:type="auto"/>
          </w:tcPr>
          <w:p w14:paraId="70583BA4" w14:textId="77777777" w:rsidR="00901B2C" w:rsidRDefault="00056191">
            <w:pPr>
              <w:pStyle w:val="Compact"/>
            </w:pPr>
            <w:r>
              <w:t>Trop de dossiers non qualifiés</w:t>
            </w:r>
          </w:p>
        </w:tc>
        <w:tc>
          <w:tcPr>
            <w:tcW w:w="0" w:type="auto"/>
          </w:tcPr>
          <w:p w14:paraId="03F4E317" w14:textId="77777777" w:rsidR="00901B2C" w:rsidRDefault="00056191">
            <w:pPr>
              <w:pStyle w:val="Compact"/>
            </w:pPr>
            <w:r>
              <w:t>Explosion du coût de traitement et perte de qualité</w:t>
            </w:r>
          </w:p>
        </w:tc>
        <w:tc>
          <w:tcPr>
            <w:tcW w:w="0" w:type="auto"/>
          </w:tcPr>
          <w:p w14:paraId="64B89B08" w14:textId="77777777" w:rsidR="00901B2C" w:rsidRDefault="00056191">
            <w:pPr>
              <w:pStyle w:val="Compact"/>
            </w:pPr>
            <w:r>
              <w:t>filtres d’en</w:t>
            </w:r>
            <w:r>
              <w:t>trée, scoring automatique, revue cabinet</w:t>
            </w:r>
          </w:p>
        </w:tc>
      </w:tr>
      <w:tr w:rsidR="00901B2C" w14:paraId="13A14C85" w14:textId="77777777">
        <w:tc>
          <w:tcPr>
            <w:tcW w:w="0" w:type="auto"/>
          </w:tcPr>
          <w:p w14:paraId="0BE203BD" w14:textId="77777777" w:rsidR="00901B2C" w:rsidRDefault="00056191">
            <w:pPr>
              <w:pStyle w:val="Compact"/>
            </w:pPr>
            <w:r>
              <w:t>Perception pay-to-play</w:t>
            </w:r>
          </w:p>
        </w:tc>
        <w:tc>
          <w:tcPr>
            <w:tcW w:w="0" w:type="auto"/>
          </w:tcPr>
          <w:p w14:paraId="78B62EE4" w14:textId="77777777" w:rsidR="00901B2C" w:rsidRDefault="00056191">
            <w:pPr>
              <w:pStyle w:val="Compact"/>
            </w:pPr>
            <w:r>
              <w:t>Dégradation de la confiance entrepreneurs et investisseurs</w:t>
            </w:r>
          </w:p>
        </w:tc>
        <w:tc>
          <w:tcPr>
            <w:tcW w:w="0" w:type="auto"/>
          </w:tcPr>
          <w:p w14:paraId="0031DABE" w14:textId="77777777" w:rsidR="00901B2C" w:rsidRDefault="00056191">
            <w:pPr>
              <w:pStyle w:val="Compact"/>
            </w:pPr>
            <w:r>
              <w:t>communiquer clairement : on paie la préparation, pas un financement garanti</w:t>
            </w:r>
          </w:p>
        </w:tc>
      </w:tr>
      <w:tr w:rsidR="00901B2C" w14:paraId="068C9526" w14:textId="77777777">
        <w:tc>
          <w:tcPr>
            <w:tcW w:w="0" w:type="auto"/>
          </w:tcPr>
          <w:p w14:paraId="2E014537" w14:textId="77777777" w:rsidR="00901B2C" w:rsidRDefault="00056191">
            <w:pPr>
              <w:pStyle w:val="Compact"/>
            </w:pPr>
            <w:r>
              <w:t>Risque réglementaire</w:t>
            </w:r>
          </w:p>
        </w:tc>
        <w:tc>
          <w:tcPr>
            <w:tcW w:w="0" w:type="auto"/>
          </w:tcPr>
          <w:p w14:paraId="01C907FC" w14:textId="77777777" w:rsidR="00901B2C" w:rsidRDefault="00056191">
            <w:pPr>
              <w:pStyle w:val="Compact"/>
            </w:pPr>
            <w:r>
              <w:t>Mauvais positionnement juridique de la plateforme</w:t>
            </w:r>
          </w:p>
        </w:tc>
        <w:tc>
          <w:tcPr>
            <w:tcW w:w="0" w:type="auto"/>
          </w:tcPr>
          <w:p w14:paraId="184412A9" w14:textId="77777777" w:rsidR="00901B2C" w:rsidRDefault="00056191">
            <w:pPr>
              <w:pStyle w:val="Compact"/>
            </w:pPr>
            <w:r>
              <w:t>avis juridique UEMOA/CEMAC/OHADA, plateforme privée, investisseurs qualifiés</w:t>
            </w:r>
          </w:p>
        </w:tc>
      </w:tr>
      <w:tr w:rsidR="00901B2C" w14:paraId="69147009" w14:textId="77777777">
        <w:tc>
          <w:tcPr>
            <w:tcW w:w="0" w:type="auto"/>
          </w:tcPr>
          <w:p w14:paraId="5A427C50" w14:textId="77777777" w:rsidR="00901B2C" w:rsidRDefault="00056191">
            <w:pPr>
              <w:pStyle w:val="Compact"/>
            </w:pPr>
            <w:r>
              <w:t>Conflits d’intérêts</w:t>
            </w:r>
          </w:p>
        </w:tc>
        <w:tc>
          <w:tcPr>
            <w:tcW w:w="0" w:type="auto"/>
          </w:tcPr>
          <w:p w14:paraId="43A7FB07" w14:textId="77777777" w:rsidR="00901B2C" w:rsidRDefault="00056191">
            <w:pPr>
              <w:pStyle w:val="Compact"/>
            </w:pPr>
            <w:r>
              <w:t>Cabinet pa</w:t>
            </w:r>
            <w:r>
              <w:t>yé des deux côtés</w:t>
            </w:r>
          </w:p>
        </w:tc>
        <w:tc>
          <w:tcPr>
            <w:tcW w:w="0" w:type="auto"/>
          </w:tcPr>
          <w:p w14:paraId="1E561FF3" w14:textId="77777777" w:rsidR="00901B2C" w:rsidRDefault="00056191">
            <w:pPr>
              <w:pStyle w:val="Compact"/>
            </w:pPr>
            <w:r>
              <w:t>disclosure systématique, mandat explicite, journal des rôles</w:t>
            </w:r>
          </w:p>
        </w:tc>
      </w:tr>
      <w:tr w:rsidR="00901B2C" w14:paraId="75B09289" w14:textId="77777777">
        <w:tc>
          <w:tcPr>
            <w:tcW w:w="0" w:type="auto"/>
          </w:tcPr>
          <w:p w14:paraId="501B0367" w14:textId="77777777" w:rsidR="00901B2C" w:rsidRDefault="00056191">
            <w:pPr>
              <w:pStyle w:val="Compact"/>
            </w:pPr>
            <w:r>
              <w:t>Défaut de confidentialité</w:t>
            </w:r>
          </w:p>
        </w:tc>
        <w:tc>
          <w:tcPr>
            <w:tcW w:w="0" w:type="auto"/>
          </w:tcPr>
          <w:p w14:paraId="375E631B" w14:textId="77777777" w:rsidR="00901B2C" w:rsidRDefault="00056191">
            <w:pPr>
              <w:pStyle w:val="Compact"/>
            </w:pPr>
            <w:r>
              <w:t>Atteinte réputationnelle majeure</w:t>
            </w:r>
          </w:p>
        </w:tc>
        <w:tc>
          <w:tcPr>
            <w:tcW w:w="0" w:type="auto"/>
          </w:tcPr>
          <w:p w14:paraId="3B0CD0BC" w14:textId="77777777" w:rsidR="00901B2C" w:rsidRDefault="00056191">
            <w:pPr>
              <w:pStyle w:val="Compact"/>
            </w:pPr>
            <w:r>
              <w:t>anonymisation, NDA, permissions, logs, watermark</w:t>
            </w:r>
          </w:p>
        </w:tc>
      </w:tr>
      <w:tr w:rsidR="00901B2C" w14:paraId="7E2B6857" w14:textId="77777777">
        <w:tc>
          <w:tcPr>
            <w:tcW w:w="0" w:type="auto"/>
          </w:tcPr>
          <w:p w14:paraId="11F29499" w14:textId="77777777" w:rsidR="00901B2C" w:rsidRDefault="00056191">
            <w:pPr>
              <w:pStyle w:val="Compact"/>
            </w:pPr>
            <w:r>
              <w:t>Faible adoption par les PE</w:t>
            </w:r>
          </w:p>
        </w:tc>
        <w:tc>
          <w:tcPr>
            <w:tcW w:w="0" w:type="auto"/>
          </w:tcPr>
          <w:p w14:paraId="223B6AC1" w14:textId="77777777" w:rsidR="00901B2C" w:rsidRDefault="00056191">
            <w:pPr>
              <w:pStyle w:val="Compact"/>
            </w:pPr>
            <w:r>
              <w:t>Sans investisseurs actifs, la plateforme</w:t>
            </w:r>
            <w:r>
              <w:t xml:space="preserve"> perd sa valeur</w:t>
            </w:r>
          </w:p>
        </w:tc>
        <w:tc>
          <w:tcPr>
            <w:tcW w:w="0" w:type="auto"/>
          </w:tcPr>
          <w:p w14:paraId="5C7B384A" w14:textId="77777777" w:rsidR="00901B2C" w:rsidRDefault="00056191">
            <w:pPr>
              <w:pStyle w:val="Compact"/>
            </w:pPr>
            <w:r>
              <w:t>commencer avec un noyau fermé d’investisseurs partenaires</w:t>
            </w:r>
          </w:p>
        </w:tc>
      </w:tr>
      <w:tr w:rsidR="00901B2C" w14:paraId="44B02273" w14:textId="77777777">
        <w:tc>
          <w:tcPr>
            <w:tcW w:w="0" w:type="auto"/>
          </w:tcPr>
          <w:p w14:paraId="624EBC4D" w14:textId="77777777" w:rsidR="00901B2C" w:rsidRDefault="00056191">
            <w:pPr>
              <w:pStyle w:val="Compact"/>
            </w:pPr>
            <w:r>
              <w:t>Mauvaise qualité documentaire</w:t>
            </w:r>
          </w:p>
        </w:tc>
        <w:tc>
          <w:tcPr>
            <w:tcW w:w="0" w:type="auto"/>
          </w:tcPr>
          <w:p w14:paraId="019AC8FE" w14:textId="77777777" w:rsidR="00901B2C" w:rsidRDefault="00056191">
            <w:pPr>
              <w:pStyle w:val="Compact"/>
            </w:pPr>
            <w:r>
              <w:t>Blocage en diligence</w:t>
            </w:r>
          </w:p>
        </w:tc>
        <w:tc>
          <w:tcPr>
            <w:tcW w:w="0" w:type="auto"/>
          </w:tcPr>
          <w:p w14:paraId="2A1D64C8" w14:textId="77777777" w:rsidR="00901B2C" w:rsidRDefault="00056191">
            <w:pPr>
              <w:pStyle w:val="Compact"/>
            </w:pPr>
            <w:r>
              <w:t>readiness pack, checklist, assistance documentaire</w:t>
            </w:r>
          </w:p>
        </w:tc>
      </w:tr>
      <w:tr w:rsidR="00901B2C" w14:paraId="283249A3" w14:textId="77777777">
        <w:tc>
          <w:tcPr>
            <w:tcW w:w="0" w:type="auto"/>
          </w:tcPr>
          <w:p w14:paraId="34267A4B" w14:textId="77777777" w:rsidR="00901B2C" w:rsidRDefault="00056191">
            <w:pPr>
              <w:pStyle w:val="Compact"/>
            </w:pPr>
            <w:r>
              <w:t>Processus trop complexe</w:t>
            </w:r>
          </w:p>
        </w:tc>
        <w:tc>
          <w:tcPr>
            <w:tcW w:w="0" w:type="auto"/>
          </w:tcPr>
          <w:p w14:paraId="432E6F9B" w14:textId="77777777" w:rsidR="00901B2C" w:rsidRDefault="00056191">
            <w:pPr>
              <w:pStyle w:val="Compact"/>
            </w:pPr>
            <w:r>
              <w:t>Chute de conversion côté PME</w:t>
            </w:r>
          </w:p>
        </w:tc>
        <w:tc>
          <w:tcPr>
            <w:tcW w:w="0" w:type="auto"/>
          </w:tcPr>
          <w:p w14:paraId="677C5769" w14:textId="77777777" w:rsidR="00901B2C" w:rsidRDefault="00056191">
            <w:pPr>
              <w:pStyle w:val="Compact"/>
            </w:pPr>
            <w:r>
              <w:t>onboarding progressif, mobile-first, assistance humaine</w:t>
            </w:r>
          </w:p>
        </w:tc>
      </w:tr>
      <w:tr w:rsidR="00901B2C" w14:paraId="653878D4" w14:textId="77777777">
        <w:tc>
          <w:tcPr>
            <w:tcW w:w="0" w:type="auto"/>
          </w:tcPr>
          <w:p w14:paraId="2C3FBAAC" w14:textId="77777777" w:rsidR="00901B2C" w:rsidRDefault="00056191">
            <w:pPr>
              <w:pStyle w:val="Compact"/>
            </w:pPr>
            <w:r>
              <w:t>Promesse commerciale mal formulée</w:t>
            </w:r>
          </w:p>
        </w:tc>
        <w:tc>
          <w:tcPr>
            <w:tcW w:w="0" w:type="auto"/>
          </w:tcPr>
          <w:p w14:paraId="23E924C3" w14:textId="77777777" w:rsidR="00901B2C" w:rsidRDefault="00056191">
            <w:pPr>
              <w:pStyle w:val="Compact"/>
            </w:pPr>
            <w:r>
              <w:t>Déception et risque réglementaire</w:t>
            </w:r>
          </w:p>
        </w:tc>
        <w:tc>
          <w:tcPr>
            <w:tcW w:w="0" w:type="auto"/>
          </w:tcPr>
          <w:p w14:paraId="4234233B" w14:textId="77777777" w:rsidR="00901B2C" w:rsidRDefault="00056191">
            <w:pPr>
              <w:pStyle w:val="Compact"/>
            </w:pPr>
            <w:r>
              <w:t>parler de readiness, orientation et dealflow qualifié, pas de “financement garanti”</w:t>
            </w:r>
          </w:p>
        </w:tc>
      </w:tr>
    </w:tbl>
    <w:p w14:paraId="42805A85" w14:textId="77777777" w:rsidR="00901B2C" w:rsidRDefault="00056191">
      <w:pPr>
        <w:pStyle w:val="Titre2"/>
      </w:pPr>
      <w:bookmarkStart w:id="17" w:name="recommandation-finale-amoa"/>
      <w:bookmarkEnd w:id="10"/>
      <w:bookmarkEnd w:id="16"/>
      <w:r>
        <w:t>Recommandation finale AMOA</w:t>
      </w:r>
    </w:p>
    <w:p w14:paraId="511D83AC" w14:textId="77777777" w:rsidR="00901B2C" w:rsidRDefault="00056191">
      <w:pPr>
        <w:pStyle w:val="FirstParagraph"/>
      </w:pPr>
      <w:r>
        <w:t>La meilleure option</w:t>
      </w:r>
      <w:r>
        <w:t xml:space="preserve"> n’est pas de lancer une plateforme “totale” dès le premier jour. Il faut lancer une </w:t>
      </w:r>
      <w:r>
        <w:rPr>
          <w:b/>
          <w:bCs/>
        </w:rPr>
        <w:t>plateforme privée intermédiée</w:t>
      </w:r>
      <w:r>
        <w:t>, opérée par votre cabinet, avec trois couches successives.</w:t>
      </w:r>
    </w:p>
    <w:p w14:paraId="745131C7" w14:textId="77777777" w:rsidR="00901B2C" w:rsidRDefault="00056191">
      <w:pPr>
        <w:pStyle w:val="Corpsdetexte"/>
      </w:pPr>
      <w:r>
        <w:t xml:space="preserve">La première couche doit être un </w:t>
      </w:r>
      <w:r>
        <w:rPr>
          <w:b/>
          <w:bCs/>
        </w:rPr>
        <w:t>moteur de qualification et de conversion commercia</w:t>
      </w:r>
      <w:r>
        <w:rPr>
          <w:b/>
          <w:bCs/>
        </w:rPr>
        <w:t>le</w:t>
      </w:r>
      <w:r>
        <w:t xml:space="preserve"> : onboarding, questionnaire, upload simple, readiness score, rapport synthétique, proposition de </w:t>
      </w:r>
      <w:r>
        <w:lastRenderedPageBreak/>
        <w:t xml:space="preserve">services. C’est elle qui transforme le produit d’appel en machine commerciale exploitable. Elle doit être développée en priorité, avec un reporting cabinet </w:t>
      </w:r>
      <w:r>
        <w:t xml:space="preserve">solide. Cette étape est la plus importante à réussir parce qu’elle répond directement au déficit documentaire et au besoin d’orientation mis en évidence par la Banque mondiale, l’IFC et l’AfDB. </w:t>
      </w:r>
      <w:hyperlink r:id="rId28">
        <w:r>
          <w:rPr>
            <w:rStyle w:val="Lienhypertexte"/>
          </w:rPr>
          <w:t>[23]</w:t>
        </w:r>
      </w:hyperlink>
    </w:p>
    <w:p w14:paraId="69EF8664" w14:textId="77777777" w:rsidR="00901B2C" w:rsidRDefault="00056191">
      <w:pPr>
        <w:pStyle w:val="Corpsdetexte"/>
      </w:pPr>
      <w:r>
        <w:t xml:space="preserve">La deuxième couche doit être un </w:t>
      </w:r>
      <w:r>
        <w:rPr>
          <w:b/>
          <w:bCs/>
        </w:rPr>
        <w:t>moteur de dealflow investisseur</w:t>
      </w:r>
      <w:r>
        <w:t xml:space="preserve"> : référentiel investisseurs, cri</w:t>
      </w:r>
      <w:r>
        <w:t>tères d’investissement, matching, teasers anonymisés, feedback structuré. Ici, l’objectif n’est pas le volume. Il est préférable de servir peu d’opportunités mais bien qualifiées, ce qui est cohérent avec la sélectivité actuelle du private capital en Afriq</w:t>
      </w:r>
      <w:r>
        <w:t xml:space="preserve">ue et plus particulièrement en Afrique de l’Ouest. </w:t>
      </w:r>
      <w:hyperlink r:id="rId29">
        <w:r>
          <w:rPr>
            <w:rStyle w:val="Lienhypertexte"/>
          </w:rPr>
          <w:t>[24]</w:t>
        </w:r>
      </w:hyperlink>
    </w:p>
    <w:p w14:paraId="2503A822" w14:textId="77777777" w:rsidR="00901B2C" w:rsidRDefault="00056191">
      <w:pPr>
        <w:pStyle w:val="Corpsdetexte"/>
      </w:pPr>
      <w:r>
        <w:t xml:space="preserve">La troisième couche doit être un </w:t>
      </w:r>
      <w:r>
        <w:rPr>
          <w:b/>
          <w:bCs/>
        </w:rPr>
        <w:t>moteur d’exécution</w:t>
      </w:r>
      <w:r>
        <w:t xml:space="preserve"> : NDA, data room, Q&amp;A, p</w:t>
      </w:r>
      <w:r>
        <w:t>ipeline transactionnel, gestion des mandats et des fees. Cette couche fait la différence entre une plateforme de leads et une plateforme de deal execution. C’est aussi celle qui permet de justifier les revenus premium côté investisseur et les retainers côt</w:t>
      </w:r>
      <w:r>
        <w:t xml:space="preserve">é entrepreneur ou fonds. Les standards fonctionnels des éditeurs spécialisés montrent clairement que cette chaîne de valeur est devenue la norme du marché. </w:t>
      </w:r>
      <w:hyperlink r:id="rId30">
        <w:r>
          <w:rPr>
            <w:rStyle w:val="Lienhypertexte"/>
          </w:rPr>
          <w:t>[25]</w:t>
        </w:r>
      </w:hyperlink>
    </w:p>
    <w:p w14:paraId="1855F938" w14:textId="77777777" w:rsidR="00901B2C" w:rsidRDefault="00056191">
      <w:pPr>
        <w:pStyle w:val="Corpsdetexte"/>
      </w:pPr>
      <w:r>
        <w:t>Sur le plan build-v</w:t>
      </w:r>
      <w:r>
        <w:t xml:space="preserve">ersus-buy, ma recommandation est nette. Il faut </w:t>
      </w:r>
      <w:r>
        <w:rPr>
          <w:b/>
          <w:bCs/>
        </w:rPr>
        <w:t>construire</w:t>
      </w:r>
      <w:r>
        <w:t xml:space="preserve"> : readiness score, règles de qualification, matching, modèle de données entreprises/investisseurs, logique de monétisation, brique OHADA/SYSCOHADA, workflow conseil. Il faut </w:t>
      </w:r>
      <w:r>
        <w:rPr>
          <w:b/>
          <w:bCs/>
        </w:rPr>
        <w:t>acheter ou intégrer</w:t>
      </w:r>
      <w:r>
        <w:t xml:space="preserve"> : V</w:t>
      </w:r>
      <w:r>
        <w:t xml:space="preserve">DR, e-signature, brique KYC/AML, éventuellement CRM sur étagère si vous souhaitez aller vite. Les capacités de screening et de VDR sont déjà bien industrialisées par le marché ; votre avantage défendable est ailleurs. </w:t>
      </w:r>
      <w:hyperlink r:id="rId31">
        <w:r>
          <w:rPr>
            <w:rStyle w:val="Lienhypertexte"/>
          </w:rPr>
          <w:t>[26]</w:t>
        </w:r>
      </w:hyperlink>
    </w:p>
    <w:p w14:paraId="35469D28" w14:textId="77777777" w:rsidR="00901B2C" w:rsidRDefault="00056191">
      <w:pPr>
        <w:pStyle w:val="Corpsdetexte"/>
      </w:pPr>
      <w:r>
        <w:t xml:space="preserve">Pour le pilote, je recommande un lancement sur </w:t>
      </w:r>
      <w:r>
        <w:rPr>
          <w:b/>
          <w:bCs/>
        </w:rPr>
        <w:t>un périmètre géographique étroit mais crédible</w:t>
      </w:r>
      <w:r>
        <w:t xml:space="preserve"> : idéalement un ou deux pays UEMOA et un pays CEMAC où votre cabi</w:t>
      </w:r>
      <w:r>
        <w:t>net dispose déjà d’un réseau entrepreneur-investisseur. Le pilote doit être fermé, avec une cohorte limitée d’entreprises et un noyau d’investisseurs invités. Les critères de passage à l’échelle doivent être très concrets : conversion du freemium vers le d</w:t>
      </w:r>
      <w:r>
        <w:t>iagnostic, qualité du matching, taux d’intérêt investisseur, taux de NDA, premiers mandats payants, puis premiers dossiers arrivant en due diligence ou term sheet. Si ces signaux ne sont pas bons, ce n’est généralement pas un problème d’interface ; c’est u</w:t>
      </w:r>
      <w:r>
        <w:t xml:space="preserve">n problème de ciblage, de qualité de la donnée d’entrée ou de proposition de valeur. </w:t>
      </w:r>
      <w:hyperlink r:id="rId32">
        <w:r>
          <w:rPr>
            <w:rStyle w:val="Lienhypertexte"/>
          </w:rPr>
          <w:t>[27]</w:t>
        </w:r>
      </w:hyperlink>
    </w:p>
    <w:p w14:paraId="7107C9C4" w14:textId="77777777" w:rsidR="00901B2C" w:rsidRDefault="00056191">
      <w:pPr>
        <w:pStyle w:val="Corpsdetexte"/>
      </w:pPr>
      <w:r>
        <w:t xml:space="preserve">La formulation stratégique la plus juste, </w:t>
      </w:r>
      <w:r>
        <w:t>au moment de lancer le projet, est la suivante :</w:t>
      </w:r>
    </w:p>
    <w:p w14:paraId="52D453EC" w14:textId="77777777" w:rsidR="00901B2C" w:rsidRDefault="00056191">
      <w:pPr>
        <w:pStyle w:val="Normalcentr"/>
      </w:pPr>
      <w:r>
        <w:rPr>
          <w:b/>
          <w:bCs/>
        </w:rPr>
        <w:t>Vous ne construisez pas une marketplace de financement. Vous construisez une infrastructure privée de transformation de dossiers en opportunités investissables, puis d’orchestration des échanges jusqu’au clo</w:t>
      </w:r>
      <w:r>
        <w:rPr>
          <w:b/>
          <w:bCs/>
        </w:rPr>
        <w:t>sing.</w:t>
      </w:r>
    </w:p>
    <w:p w14:paraId="36A457FB" w14:textId="77777777" w:rsidR="00901B2C" w:rsidRDefault="00056191">
      <w:pPr>
        <w:pStyle w:val="FirstParagraph"/>
      </w:pPr>
      <w:r>
        <w:t xml:space="preserve">C’est cette formulation qui protège le projet sur trois plans à la fois : valeur perçue, qualité du dealflow et cohérence réglementaire. </w:t>
      </w:r>
      <w:hyperlink r:id="rId33">
        <w:r>
          <w:rPr>
            <w:rStyle w:val="Lienhypertexte"/>
          </w:rPr>
          <w:t>[28]</w:t>
        </w:r>
      </w:hyperlink>
    </w:p>
    <w:bookmarkEnd w:id="1"/>
    <w:bookmarkEnd w:id="2"/>
    <w:bookmarkEnd w:id="17"/>
    <w:p w14:paraId="59D00A74" w14:textId="77777777" w:rsidR="00901B2C" w:rsidRDefault="00056191">
      <w:r>
        <w:pict w14:anchorId="7BBFE2D9">
          <v:rect id="_x0000_i1025" style="width:0;height:1.5pt" o:hralign="center" o:hrstd="t" o:hr="t"/>
        </w:pict>
      </w:r>
    </w:p>
    <w:bookmarkStart w:id="18" w:name="citations"/>
    <w:p w14:paraId="1D2DEEEA" w14:textId="77777777" w:rsidR="00901B2C" w:rsidRDefault="00056191">
      <w:pPr>
        <w:pStyle w:val="FirstParagraph"/>
      </w:pPr>
      <w:r>
        <w:fldChar w:fldCharType="begin"/>
      </w:r>
      <w:r>
        <w:instrText xml:space="preserve"> HYPERLINK "https://www.ohada.org/en/general-overview/?utm_source=chatgpt.com" \h </w:instrText>
      </w:r>
      <w:r>
        <w:fldChar w:fldCharType="separate"/>
      </w:r>
      <w:r>
        <w:rPr>
          <w:rStyle w:val="Lienhypertexte"/>
        </w:rPr>
        <w:t>[1]</w:t>
      </w:r>
      <w:r>
        <w:rPr>
          <w:rStyle w:val="Lienhypertexte"/>
        </w:rPr>
        <w:fldChar w:fldCharType="end"/>
      </w:r>
      <w:r>
        <w:t xml:space="preserve"> </w:t>
      </w:r>
      <w:hyperlink r:id="rId34">
        <w:r>
          <w:rPr>
            <w:rStyle w:val="Lienhypertexte"/>
          </w:rPr>
          <w:t>[15]</w:t>
        </w:r>
      </w:hyperlink>
      <w:r>
        <w:t xml:space="preserve"> General overview – OHADA</w:t>
      </w:r>
    </w:p>
    <w:p w14:paraId="06335AA2" w14:textId="77777777" w:rsidR="00901B2C" w:rsidRDefault="00056191">
      <w:pPr>
        <w:pStyle w:val="Corpsdetexte"/>
      </w:pPr>
      <w:hyperlink r:id="rId35">
        <w:r>
          <w:rPr>
            <w:rStyle w:val="Lienhypertexte"/>
          </w:rPr>
          <w:t>https://www.ohada.org/en/general-overview/?utm_source=chatgpt.com</w:t>
        </w:r>
      </w:hyperlink>
    </w:p>
    <w:p w14:paraId="7B28A13C" w14:textId="77777777" w:rsidR="00901B2C" w:rsidRDefault="00056191">
      <w:pPr>
        <w:pStyle w:val="Corpsdetexte"/>
      </w:pPr>
      <w:hyperlink r:id="rId36">
        <w:r>
          <w:rPr>
            <w:rStyle w:val="Lienhypertexte"/>
          </w:rPr>
          <w:t>[2]</w:t>
        </w:r>
      </w:hyperlink>
      <w:r>
        <w:t xml:space="preserve"> </w:t>
      </w:r>
      <w:hyperlink r:id="rId37">
        <w:r>
          <w:rPr>
            <w:rStyle w:val="Lienhypertexte"/>
          </w:rPr>
          <w:t>[20]</w:t>
        </w:r>
      </w:hyperlink>
      <w:r>
        <w:t xml:space="preserve"> </w:t>
      </w:r>
      <w:hyperlink r:id="rId38">
        <w:r>
          <w:rPr>
            <w:rStyle w:val="Lienhypertexte"/>
          </w:rPr>
          <w:t>[28]</w:t>
        </w:r>
      </w:hyperlink>
      <w:r>
        <w:t xml:space="preserve"> UNION MONETAIRE OUEST AFRICAINE - AMF-UMOA</w:t>
      </w:r>
    </w:p>
    <w:p w14:paraId="60BE7753" w14:textId="77777777" w:rsidR="00901B2C" w:rsidRDefault="00056191">
      <w:pPr>
        <w:pStyle w:val="Corpsdetexte"/>
      </w:pPr>
      <w:hyperlink r:id="rId39">
        <w:r>
          <w:rPr>
            <w:rStyle w:val="Lienhypertexte"/>
          </w:rPr>
          <w:t>https://www.amf-umoa.org/assets/docs/general/Reglement_General.pdf?utm_source=chatgpt.com</w:t>
        </w:r>
      </w:hyperlink>
    </w:p>
    <w:p w14:paraId="05F4A72A" w14:textId="77777777" w:rsidR="00901B2C" w:rsidRDefault="00056191">
      <w:pPr>
        <w:pStyle w:val="Corpsdetexte"/>
      </w:pPr>
      <w:hyperlink r:id="rId40">
        <w:r>
          <w:rPr>
            <w:rStyle w:val="Lienhypertexte"/>
          </w:rPr>
          <w:t>[3]</w:t>
        </w:r>
      </w:hyperlink>
      <w:r>
        <w:t xml:space="preserve"> </w:t>
      </w:r>
      <w:hyperlink r:id="rId41">
        <w:r>
          <w:rPr>
            <w:rStyle w:val="Lienhypertexte"/>
          </w:rPr>
          <w:t>[10]</w:t>
        </w:r>
      </w:hyperlink>
      <w:r>
        <w:t xml:space="preserve"> Factsheet: Micro, Small &amp; Medium Enterprises (MSMEs)</w:t>
      </w:r>
    </w:p>
    <w:p w14:paraId="15BD9AFA" w14:textId="77777777" w:rsidR="00901B2C" w:rsidRDefault="00056191">
      <w:pPr>
        <w:pStyle w:val="Corpsdetexte"/>
      </w:pPr>
      <w:hyperlink r:id="rId42">
        <w:r>
          <w:rPr>
            <w:rStyle w:val="Lienhypertexte"/>
          </w:rPr>
          <w:t>https://www.ifc.org/content/dam/ifc/doclink/latest/msme-s-factsheet-ifc-financial-institutions-group.pdf?utm_source=chatgpt.com</w:t>
        </w:r>
      </w:hyperlink>
    </w:p>
    <w:p w14:paraId="25EF1C73" w14:textId="77777777" w:rsidR="00901B2C" w:rsidRDefault="00056191">
      <w:pPr>
        <w:pStyle w:val="Corpsdetexte"/>
      </w:pPr>
      <w:hyperlink r:id="rId43">
        <w:r>
          <w:rPr>
            <w:rStyle w:val="Lienhypertexte"/>
          </w:rPr>
          <w:t>[4]</w:t>
        </w:r>
      </w:hyperlink>
      <w:r>
        <w:t xml:space="preserve"> </w:t>
      </w:r>
      <w:hyperlink r:id="rId44">
        <w:r>
          <w:rPr>
            <w:rStyle w:val="Lienhypertexte"/>
          </w:rPr>
          <w:t>[6]</w:t>
        </w:r>
      </w:hyperlink>
      <w:r>
        <w:t xml:space="preserve"> 2025 African Private Capital Activity Report</w:t>
      </w:r>
    </w:p>
    <w:p w14:paraId="61232105" w14:textId="77777777" w:rsidR="00901B2C" w:rsidRDefault="00056191">
      <w:pPr>
        <w:pStyle w:val="Corpsdetexte"/>
      </w:pPr>
      <w:hyperlink r:id="rId45">
        <w:r>
          <w:rPr>
            <w:rStyle w:val="Lienhypertexte"/>
          </w:rPr>
          <w:t>https</w:t>
        </w:r>
        <w:r>
          <w:rPr>
            <w:rStyle w:val="Lienhypertexte"/>
          </w:rPr>
          <w:t>://www.avca.africa/data-intelligence/research-publications/2025-african-private-capital-activity-report/?utm_source=chatgpt.com</w:t>
        </w:r>
      </w:hyperlink>
    </w:p>
    <w:p w14:paraId="1BB6B454" w14:textId="77777777" w:rsidR="00901B2C" w:rsidRDefault="00056191">
      <w:pPr>
        <w:pStyle w:val="Corpsdetexte"/>
      </w:pPr>
      <w:hyperlink r:id="rId46">
        <w:r>
          <w:rPr>
            <w:rStyle w:val="Lienhypertexte"/>
          </w:rPr>
          <w:t>[5]</w:t>
        </w:r>
      </w:hyperlink>
      <w:r>
        <w:t xml:space="preserve"> </w:t>
      </w:r>
      <w:hyperlink r:id="rId47">
        <w:r>
          <w:rPr>
            <w:rStyle w:val="Lienhypertexte"/>
          </w:rPr>
          <w:t>[17]</w:t>
        </w:r>
      </w:hyperlink>
      <w:r>
        <w:t xml:space="preserve"> Rapport annuel sur la situation de l'Inclusion Financière dans l'UE</w:t>
      </w:r>
      <w:r>
        <w:t>MOA ...</w:t>
      </w:r>
    </w:p>
    <w:p w14:paraId="4B30C97D" w14:textId="77777777" w:rsidR="00901B2C" w:rsidRDefault="00056191">
      <w:pPr>
        <w:pStyle w:val="Corpsdetexte"/>
      </w:pPr>
      <w:hyperlink r:id="rId48">
        <w:r>
          <w:rPr>
            <w:rStyle w:val="Lienhypertexte"/>
          </w:rPr>
          <w:t>https://www.bceao.int/fr/publications/rapport-annuel-sur-la-situation-de-linclusion-financiere</w:t>
        </w:r>
        <w:r>
          <w:rPr>
            <w:rStyle w:val="Lienhypertexte"/>
          </w:rPr>
          <w:t>-dans-luemoa-2024?utm_source=chatgpt.com</w:t>
        </w:r>
      </w:hyperlink>
    </w:p>
    <w:p w14:paraId="29AEAB7C" w14:textId="77777777" w:rsidR="00901B2C" w:rsidRDefault="00056191">
      <w:pPr>
        <w:pStyle w:val="Corpsdetexte"/>
      </w:pPr>
      <w:hyperlink r:id="rId49">
        <w:r>
          <w:rPr>
            <w:rStyle w:val="Lienhypertexte"/>
          </w:rPr>
          <w:t>[7]</w:t>
        </w:r>
      </w:hyperlink>
      <w:r>
        <w:t xml:space="preserve"> Access to finance for SMEs through FIs - African Development B</w:t>
      </w:r>
      <w:r>
        <w:t>ank Group</w:t>
      </w:r>
    </w:p>
    <w:p w14:paraId="2CF57D2E" w14:textId="77777777" w:rsidR="00901B2C" w:rsidRDefault="00056191">
      <w:pPr>
        <w:pStyle w:val="Corpsdetexte"/>
      </w:pPr>
      <w:hyperlink r:id="rId50">
        <w:r>
          <w:rPr>
            <w:rStyle w:val="Lienhypertexte"/>
          </w:rPr>
          <w:t>https://www.afdb.org/en/topics-and-sectors/initiatives-partnerships/access-to-finance-for-smes-th</w:t>
        </w:r>
        <w:r>
          <w:rPr>
            <w:rStyle w:val="Lienhypertexte"/>
          </w:rPr>
          <w:t>rough-fis?utm_source=chatgpt.com</w:t>
        </w:r>
      </w:hyperlink>
    </w:p>
    <w:p w14:paraId="60D00BFA" w14:textId="77777777" w:rsidR="00901B2C" w:rsidRDefault="00056191">
      <w:pPr>
        <w:pStyle w:val="Corpsdetexte"/>
      </w:pPr>
      <w:hyperlink r:id="rId51">
        <w:r>
          <w:rPr>
            <w:rStyle w:val="Lienhypertexte"/>
          </w:rPr>
          <w:t>[8]</w:t>
        </w:r>
      </w:hyperlink>
      <w:r>
        <w:t xml:space="preserve"> </w:t>
      </w:r>
      <w:hyperlink r:id="rId52">
        <w:r>
          <w:rPr>
            <w:rStyle w:val="Lienhypertexte"/>
          </w:rPr>
          <w:t>[18]</w:t>
        </w:r>
      </w:hyperlink>
      <w:r>
        <w:t xml:space="preserve"> </w:t>
      </w:r>
      <w:hyperlink r:id="rId53">
        <w:r>
          <w:rPr>
            <w:rStyle w:val="Lienhypertexte"/>
          </w:rPr>
          <w:t>[23]</w:t>
        </w:r>
      </w:hyperlink>
      <w:r>
        <w:t xml:space="preserve"> Jumpstarting Small and Medium-Sized Businesses in West Africa</w:t>
      </w:r>
    </w:p>
    <w:p w14:paraId="28684D7D" w14:textId="77777777" w:rsidR="00901B2C" w:rsidRDefault="00056191">
      <w:pPr>
        <w:pStyle w:val="Corpsdetexte"/>
      </w:pPr>
      <w:hyperlink r:id="rId54">
        <w:r>
          <w:rPr>
            <w:rStyle w:val="Lienhypertexte"/>
          </w:rPr>
          <w:t>https://www.worldbank.org/en/ne</w:t>
        </w:r>
        <w:r>
          <w:rPr>
            <w:rStyle w:val="Lienhypertexte"/>
          </w:rPr>
          <w:t>ws/feature/2021/07/07/jumpstarting-small-and-medium-sized-businesses-in-west-africa?utm_source=chatgpt.com</w:t>
        </w:r>
      </w:hyperlink>
    </w:p>
    <w:p w14:paraId="44717BD1" w14:textId="77777777" w:rsidR="00901B2C" w:rsidRDefault="00056191">
      <w:pPr>
        <w:pStyle w:val="Corpsdetexte"/>
      </w:pPr>
      <w:hyperlink r:id="rId55">
        <w:r>
          <w:rPr>
            <w:rStyle w:val="Lienhypertexte"/>
          </w:rPr>
          <w:t>[9]</w:t>
        </w:r>
      </w:hyperlink>
      <w:r>
        <w:t xml:space="preserve"> </w:t>
      </w:r>
      <w:hyperlink r:id="rId56">
        <w:r>
          <w:rPr>
            <w:rStyle w:val="Lienhypertexte"/>
          </w:rPr>
          <w:t>[25]</w:t>
        </w:r>
      </w:hyperlink>
      <w:r>
        <w:t xml:space="preserve"> The AI-powered deal and relationship intelligence platform</w:t>
      </w:r>
    </w:p>
    <w:p w14:paraId="50A7DEBC" w14:textId="77777777" w:rsidR="00901B2C" w:rsidRDefault="00056191">
      <w:pPr>
        <w:pStyle w:val="Corpsdetexte"/>
      </w:pPr>
      <w:hyperlink r:id="rId57">
        <w:r>
          <w:rPr>
            <w:rStyle w:val="Lienhypertexte"/>
          </w:rPr>
          <w:t>https://www.intapp.com/dealcloud/?utm_source=chatgpt.com</w:t>
        </w:r>
      </w:hyperlink>
    </w:p>
    <w:p w14:paraId="5318BC05" w14:textId="77777777" w:rsidR="00901B2C" w:rsidRDefault="00056191">
      <w:pPr>
        <w:pStyle w:val="Corpsdetexte"/>
      </w:pPr>
      <w:hyperlink r:id="rId58">
        <w:r>
          <w:rPr>
            <w:rStyle w:val="Lienhypertexte"/>
          </w:rPr>
          <w:t>[11]</w:t>
        </w:r>
      </w:hyperlink>
      <w:r>
        <w:t xml:space="preserve"> MSME Finance - IFC</w:t>
      </w:r>
    </w:p>
    <w:p w14:paraId="76F1F0F7" w14:textId="77777777" w:rsidR="00901B2C" w:rsidRDefault="00056191">
      <w:pPr>
        <w:pStyle w:val="Corpsdetexte"/>
      </w:pPr>
      <w:hyperlink r:id="rId59">
        <w:r>
          <w:rPr>
            <w:rStyle w:val="Lienhypertexte"/>
          </w:rPr>
          <w:t>https://www.ifc.org/en/what-we-do/sector-expertise/financial-institutions/msme-finance?utm_source=chatgpt.com</w:t>
        </w:r>
      </w:hyperlink>
    </w:p>
    <w:p w14:paraId="3AB63C2D" w14:textId="77777777" w:rsidR="00901B2C" w:rsidRDefault="00056191">
      <w:pPr>
        <w:pStyle w:val="Corpsdetexte"/>
      </w:pPr>
      <w:hyperlink r:id="rId60">
        <w:r>
          <w:rPr>
            <w:rStyle w:val="Lienhypertexte"/>
          </w:rPr>
          <w:t>[12]</w:t>
        </w:r>
      </w:hyperlink>
      <w:r>
        <w:t xml:space="preserve"> The State of the Industry Report on Mobile Money 2025</w:t>
      </w:r>
    </w:p>
    <w:p w14:paraId="7C2F5B57" w14:textId="77777777" w:rsidR="00901B2C" w:rsidRDefault="00056191">
      <w:pPr>
        <w:pStyle w:val="Corpsdetexte"/>
      </w:pPr>
      <w:hyperlink r:id="rId61">
        <w:r>
          <w:rPr>
            <w:rStyle w:val="Lienhypertexte"/>
          </w:rPr>
          <w:t>https://www.gsma.com/solutions-and-impact/connectivity-for-good/mobile-for</w:t>
        </w:r>
        <w:r>
          <w:rPr>
            <w:rStyle w:val="Lienhypertexte"/>
          </w:rPr>
          <w:t>-development/gsma_resources/the-state-of-the-industry-report-on-mobile-money-2025/?utm_source=chatgpt.com</w:t>
        </w:r>
      </w:hyperlink>
    </w:p>
    <w:p w14:paraId="3FD0265F" w14:textId="77777777" w:rsidR="00901B2C" w:rsidRDefault="00056191">
      <w:pPr>
        <w:pStyle w:val="Corpsdetexte"/>
      </w:pPr>
      <w:hyperlink r:id="rId62">
        <w:r>
          <w:rPr>
            <w:rStyle w:val="Lienhypertexte"/>
          </w:rPr>
          <w:t>[13]</w:t>
        </w:r>
      </w:hyperlink>
      <w:r>
        <w:t xml:space="preserve"> </w:t>
      </w:r>
      <w:hyperlink r:id="rId63">
        <w:r>
          <w:rPr>
            <w:rStyle w:val="Lienhypertexte"/>
          </w:rPr>
          <w:t>[19]</w:t>
        </w:r>
      </w:hyperlink>
      <w:r>
        <w:t xml:space="preserve"> Affini</w:t>
      </w:r>
      <w:r>
        <w:t>ty: CRM for Private Capital</w:t>
      </w:r>
    </w:p>
    <w:p w14:paraId="2F5CD777" w14:textId="77777777" w:rsidR="00901B2C" w:rsidRDefault="00056191">
      <w:pPr>
        <w:pStyle w:val="Corpsdetexte"/>
      </w:pPr>
      <w:hyperlink r:id="rId64">
        <w:r>
          <w:rPr>
            <w:rStyle w:val="Lienhypertexte"/>
          </w:rPr>
          <w:t>https://www.affinity.co/?utm_source=chatgpt.com</w:t>
        </w:r>
      </w:hyperlink>
    </w:p>
    <w:p w14:paraId="17C2B89D" w14:textId="77777777" w:rsidR="00901B2C" w:rsidRDefault="00056191">
      <w:pPr>
        <w:pStyle w:val="Corpsdetexte"/>
      </w:pPr>
      <w:hyperlink r:id="rId65">
        <w:r>
          <w:rPr>
            <w:rStyle w:val="Lienhypertexte"/>
          </w:rPr>
          <w:t>[14]</w:t>
        </w:r>
      </w:hyperlink>
      <w:r>
        <w:t xml:space="preserve"> </w:t>
      </w:r>
      <w:hyperlink r:id="rId66">
        <w:r>
          <w:rPr>
            <w:rStyle w:val="Lienhypertexte"/>
          </w:rPr>
          <w:t>[21]</w:t>
        </w:r>
      </w:hyperlink>
      <w:r>
        <w:t xml:space="preserve"> </w:t>
      </w:r>
      <w:hyperlink r:id="rId67">
        <w:r>
          <w:rPr>
            <w:rStyle w:val="Lienhypertexte"/>
          </w:rPr>
          <w:t>[26]</w:t>
        </w:r>
      </w:hyperlink>
      <w:r>
        <w:t xml:space="preserve"> World-Check - KYC Screening | LSEG</w:t>
      </w:r>
    </w:p>
    <w:p w14:paraId="24312459" w14:textId="77777777" w:rsidR="00901B2C" w:rsidRDefault="00056191">
      <w:pPr>
        <w:pStyle w:val="Corpsdetexte"/>
      </w:pPr>
      <w:hyperlink r:id="rId68">
        <w:r>
          <w:rPr>
            <w:rStyle w:val="Lienhypertexte"/>
          </w:rPr>
          <w:t>https://www.lseg.com/en/risk-intelligence/screening-sol</w:t>
        </w:r>
        <w:r>
          <w:rPr>
            <w:rStyle w:val="Lienhypertexte"/>
          </w:rPr>
          <w:t>utions/world-check-kyc-screening?utm_source=chatgpt.com</w:t>
        </w:r>
      </w:hyperlink>
    </w:p>
    <w:p w14:paraId="0C4C1E7C" w14:textId="77777777" w:rsidR="00901B2C" w:rsidRDefault="00056191">
      <w:pPr>
        <w:pStyle w:val="Corpsdetexte"/>
      </w:pPr>
      <w:hyperlink r:id="rId69">
        <w:r>
          <w:rPr>
            <w:rStyle w:val="Lienhypertexte"/>
          </w:rPr>
          <w:t>[16]</w:t>
        </w:r>
      </w:hyperlink>
      <w:r>
        <w:t xml:space="preserve"> IFC Sustainability Framework - International Finance Corporation</w:t>
      </w:r>
    </w:p>
    <w:p w14:paraId="5F3A3EB5" w14:textId="77777777" w:rsidR="00901B2C" w:rsidRDefault="00056191">
      <w:pPr>
        <w:pStyle w:val="Corpsdetexte"/>
      </w:pPr>
      <w:hyperlink r:id="rId70">
        <w:r>
          <w:rPr>
            <w:rStyle w:val="Lienhypertexte"/>
          </w:rPr>
          <w:t>https://www.ifc.org/content/dam/ifc/doc/mgrt/ifc-sustainability-framework.pdf?utm_source=chatgpt.com</w:t>
        </w:r>
      </w:hyperlink>
    </w:p>
    <w:p w14:paraId="5884806A" w14:textId="77777777" w:rsidR="00901B2C" w:rsidRDefault="00056191">
      <w:pPr>
        <w:pStyle w:val="Corpsdetexte"/>
      </w:pPr>
      <w:hyperlink r:id="rId71">
        <w:r>
          <w:rPr>
            <w:rStyle w:val="Lienhypertexte"/>
          </w:rPr>
          <w:t>[22]</w:t>
        </w:r>
      </w:hyperlink>
      <w:r>
        <w:t xml:space="preserve"> Virtual data rooms for M&amp;A: How to evaluate VDR software, security, and ...</w:t>
      </w:r>
    </w:p>
    <w:p w14:paraId="6E3F5A77" w14:textId="77777777" w:rsidR="00901B2C" w:rsidRDefault="00056191">
      <w:pPr>
        <w:pStyle w:val="Corpsdetexte"/>
      </w:pPr>
      <w:hyperlink r:id="rId72">
        <w:r>
          <w:rPr>
            <w:rStyle w:val="Lienhypertexte"/>
          </w:rPr>
          <w:t>https://www.datasite.com/en/resources/insights/virtual-data-rooms-for-m-and-a?utm_source=chatgpt.com</w:t>
        </w:r>
      </w:hyperlink>
    </w:p>
    <w:p w14:paraId="0F7E8005" w14:textId="77777777" w:rsidR="00901B2C" w:rsidRDefault="00056191">
      <w:pPr>
        <w:pStyle w:val="Corpsdetexte"/>
      </w:pPr>
      <w:hyperlink r:id="rId73">
        <w:r>
          <w:rPr>
            <w:rStyle w:val="Lienhypertexte"/>
          </w:rPr>
          <w:t>[24]</w:t>
        </w:r>
      </w:hyperlink>
      <w:r>
        <w:t xml:space="preserve"> </w:t>
      </w:r>
      <w:hyperlink r:id="rId74">
        <w:r>
          <w:rPr>
            <w:rStyle w:val="Lienhypertexte"/>
          </w:rPr>
          <w:t>[27]</w:t>
        </w:r>
      </w:hyperlink>
      <w:r>
        <w:t xml:space="preserve"> Private Capital 2025 Activity in Africa</w:t>
      </w:r>
    </w:p>
    <w:p w14:paraId="0301EBCE" w14:textId="77777777" w:rsidR="00901B2C" w:rsidRDefault="00056191">
      <w:pPr>
        <w:pStyle w:val="Corpsdetexte"/>
      </w:pPr>
      <w:hyperlink r:id="rId75">
        <w:r>
          <w:rPr>
            <w:rStyle w:val="Lienhypertexte"/>
          </w:rPr>
          <w:t>https://www.avca.africa/media/jpspd4gb/avca25-14-apca-q3_3.pdf?id=a0SP3000003QzsX&amp;utm_source=chatgpt.com</w:t>
        </w:r>
      </w:hyperlink>
      <w:bookmarkEnd w:id="18"/>
    </w:p>
    <w:sectPr w:rsidR="00901B2C">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F9017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01B2C"/>
    <w:rsid w:val="00056191"/>
    <w:rsid w:val="004C734D"/>
    <w:rsid w:val="00901B2C"/>
    <w:rsid w:val="00FB4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B56CB"/>
  <w15:docId w15:val="{6BDFA47F-B40E-4F87-A762-69EB508E7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lseg.com/en/risk-intelligence/screening-solutions/world-check-kyc-screening?utm_source=chatgpt.com" TargetMode="External"/><Relationship Id="rId21" Type="http://schemas.openxmlformats.org/officeDocument/2006/relationships/hyperlink" Target="https://www.afdb.org/en/topics-and-sectors/initiatives-partnerships/access-to-finance-for-smes-through-fis?utm_source=chatgpt.com" TargetMode="External"/><Relationship Id="rId42" Type="http://schemas.openxmlformats.org/officeDocument/2006/relationships/hyperlink" Target="https://www.ifc.org/content/dam/ifc/doclink/latest/msme-s-factsheet-ifc-financial-institutions-group.pdf?utm_source=chatgpt.com" TargetMode="External"/><Relationship Id="rId47" Type="http://schemas.openxmlformats.org/officeDocument/2006/relationships/hyperlink" Target="https://www.bceao.int/fr/publications/rapport-annuel-sur-la-situation-de-linclusion-financiere-dans-luemoa-2024?utm_source=chatgpt.com" TargetMode="External"/><Relationship Id="rId63" Type="http://schemas.openxmlformats.org/officeDocument/2006/relationships/hyperlink" Target="https://www.affinity.co/?utm_source=chatgpt.com" TargetMode="External"/><Relationship Id="rId68" Type="http://schemas.openxmlformats.org/officeDocument/2006/relationships/hyperlink" Target="https://www.lseg.com/en/risk-intelligence/screening-solutions/world-check-kyc-screening?utm_source=chatgpt.com" TargetMode="External"/><Relationship Id="rId16" Type="http://schemas.openxmlformats.org/officeDocument/2006/relationships/hyperlink" Target="https://www.gsma.com/solutions-and-impact/connectivity-for-good/mobile-for-development/gsma_resources/the-state-of-the-industry-report-on-mobile-money-2025/?utm_source=chatgpt.com" TargetMode="External"/><Relationship Id="rId11" Type="http://schemas.openxmlformats.org/officeDocument/2006/relationships/hyperlink" Target="https://www.afdb.org/en/topics-and-sectors/initiatives-partnerships/access-to-finance-for-smes-through-fis?utm_source=chatgpt.com" TargetMode="External"/><Relationship Id="rId24" Type="http://schemas.openxmlformats.org/officeDocument/2006/relationships/hyperlink" Target="https://www.affinity.co/?utm_source=chatgpt.com" TargetMode="External"/><Relationship Id="rId32" Type="http://schemas.openxmlformats.org/officeDocument/2006/relationships/hyperlink" Target="https://www.avca.africa/media/jpspd4gb/avca25-14-apca-q3_3.pdf?id=a0SP3000003QzsX&amp;utm_source=chatgpt.com" TargetMode="External"/><Relationship Id="rId37" Type="http://schemas.openxmlformats.org/officeDocument/2006/relationships/hyperlink" Target="https://www.amf-umoa.org/assets/docs/general/Reglement_General.pdf?utm_source=chatgpt.com" TargetMode="External"/><Relationship Id="rId40" Type="http://schemas.openxmlformats.org/officeDocument/2006/relationships/hyperlink" Target="https://www.ifc.org/content/dam/ifc/doclink/latest/msme-s-factsheet-ifc-financial-institutions-group.pdf?utm_source=chatgpt.com" TargetMode="External"/><Relationship Id="rId45" Type="http://schemas.openxmlformats.org/officeDocument/2006/relationships/hyperlink" Target="https://www.avca.africa/data-intelligence/research-publications/2025-african-private-capital-activity-report/?utm_source=chatgpt.com" TargetMode="External"/><Relationship Id="rId53" Type="http://schemas.openxmlformats.org/officeDocument/2006/relationships/hyperlink" Target="https://www.worldbank.org/en/news/feature/2021/07/07/jumpstarting-small-and-medium-sized-businesses-in-west-africa?utm_source=chatgpt.com" TargetMode="External"/><Relationship Id="rId58" Type="http://schemas.openxmlformats.org/officeDocument/2006/relationships/hyperlink" Target="https://www.ifc.org/en/what-we-do/sector-expertise/financial-institutions/msme-finance?utm_source=chatgpt.com" TargetMode="External"/><Relationship Id="rId66" Type="http://schemas.openxmlformats.org/officeDocument/2006/relationships/hyperlink" Target="https://www.lseg.com/en/risk-intelligence/screening-solutions/world-check-kyc-screening?utm_source=chatgpt.com" TargetMode="External"/><Relationship Id="rId74" Type="http://schemas.openxmlformats.org/officeDocument/2006/relationships/hyperlink" Target="https://www.avca.africa/media/jpspd4gb/avca25-14-apca-q3_3.pdf?id=a0SP3000003QzsX&amp;utm_source=chatgpt.com" TargetMode="External"/><Relationship Id="rId5" Type="http://schemas.openxmlformats.org/officeDocument/2006/relationships/hyperlink" Target="https://www.ohada.org/en/general-overview/?utm_source=chatgpt.com" TargetMode="External"/><Relationship Id="rId61" Type="http://schemas.openxmlformats.org/officeDocument/2006/relationships/hyperlink" Target="https://www.gsma.com/solutions-and-impact/connectivity-for-good/mobile-for-development/gsma_resources/the-state-of-the-industry-report-on-mobile-money-2025/?utm_source=chatgpt.com" TargetMode="External"/><Relationship Id="rId19" Type="http://schemas.openxmlformats.org/officeDocument/2006/relationships/hyperlink" Target="https://www.ohada.org/en/general-overview/?utm_source=chatgpt.com" TargetMode="External"/><Relationship Id="rId14" Type="http://schemas.openxmlformats.org/officeDocument/2006/relationships/hyperlink" Target="https://www.ifc.org/content/dam/ifc/doclink/latest/msme-s-factsheet-ifc-financial-institutions-group.pdf?utm_source=chatgpt.com" TargetMode="External"/><Relationship Id="rId22" Type="http://schemas.openxmlformats.org/officeDocument/2006/relationships/hyperlink" Target="https://www.bceao.int/fr/publications/rapport-annuel-sur-la-situation-de-linclusion-financiere-dans-luemoa-2024?utm_source=chatgpt.com" TargetMode="External"/><Relationship Id="rId27" Type="http://schemas.openxmlformats.org/officeDocument/2006/relationships/hyperlink" Target="https://www.datasite.com/en/resources/insights/virtual-data-rooms-for-m-and-a?utm_source=chatgpt.com" TargetMode="External"/><Relationship Id="rId30" Type="http://schemas.openxmlformats.org/officeDocument/2006/relationships/hyperlink" Target="https://www.intapp.com/dealcloud/?utm_source=chatgpt.com" TargetMode="External"/><Relationship Id="rId35" Type="http://schemas.openxmlformats.org/officeDocument/2006/relationships/hyperlink" Target="https://www.ohada.org/en/general-overview/?utm_source=chatgpt.com" TargetMode="External"/><Relationship Id="rId43" Type="http://schemas.openxmlformats.org/officeDocument/2006/relationships/hyperlink" Target="https://www.avca.africa/data-intelligence/research-publications/2025-african-private-capital-activity-report/?utm_source=chatgpt.com" TargetMode="External"/><Relationship Id="rId48" Type="http://schemas.openxmlformats.org/officeDocument/2006/relationships/hyperlink" Target="https://www.bceao.int/fr/publications/rapport-annuel-sur-la-situation-de-linclusion-financiere-dans-luemoa-2024?utm_source=chatgpt.com" TargetMode="External"/><Relationship Id="rId56" Type="http://schemas.openxmlformats.org/officeDocument/2006/relationships/hyperlink" Target="https://www.intapp.com/dealcloud/?utm_source=chatgpt.com" TargetMode="External"/><Relationship Id="rId64" Type="http://schemas.openxmlformats.org/officeDocument/2006/relationships/hyperlink" Target="https://www.affinity.co/?utm_source=chatgpt.com" TargetMode="External"/><Relationship Id="rId69" Type="http://schemas.openxmlformats.org/officeDocument/2006/relationships/hyperlink" Target="https://www.ifc.org/content/dam/ifc/doc/mgrt/ifc-sustainability-framework.pdf?utm_source=chatgpt.com" TargetMode="External"/><Relationship Id="rId77" Type="http://schemas.openxmlformats.org/officeDocument/2006/relationships/theme" Target="theme/theme1.xml"/><Relationship Id="rId8" Type="http://schemas.openxmlformats.org/officeDocument/2006/relationships/hyperlink" Target="https://www.avca.africa/data-intelligence/research-publications/2025-african-private-capital-activity-report/?utm_source=chatgpt.com" TargetMode="External"/><Relationship Id="rId51" Type="http://schemas.openxmlformats.org/officeDocument/2006/relationships/hyperlink" Target="https://www.worldbank.org/en/news/feature/2021/07/07/jumpstarting-small-and-medium-sized-businesses-in-west-africa?utm_source=chatgpt.com" TargetMode="External"/><Relationship Id="rId72" Type="http://schemas.openxmlformats.org/officeDocument/2006/relationships/hyperlink" Target="https://www.datasite.com/en/resources/insights/virtual-data-rooms-for-m-and-a?utm_source=chatgpt.com" TargetMode="External"/><Relationship Id="rId3" Type="http://schemas.openxmlformats.org/officeDocument/2006/relationships/settings" Target="settings.xml"/><Relationship Id="rId12" Type="http://schemas.openxmlformats.org/officeDocument/2006/relationships/hyperlink" Target="https://www.worldbank.org/en/news/feature/2021/07/07/jumpstarting-small-and-medium-sized-businesses-in-west-africa?utm_source=chatgpt.com" TargetMode="External"/><Relationship Id="rId17" Type="http://schemas.openxmlformats.org/officeDocument/2006/relationships/hyperlink" Target="https://www.affinity.co/?utm_source=chatgpt.com" TargetMode="External"/><Relationship Id="rId25" Type="http://schemas.openxmlformats.org/officeDocument/2006/relationships/hyperlink" Target="https://www.amf-umoa.org/assets/docs/general/Reglement_General.pdf?utm_source=chatgpt.com" TargetMode="External"/><Relationship Id="rId33" Type="http://schemas.openxmlformats.org/officeDocument/2006/relationships/hyperlink" Target="https://www.amf-umoa.org/assets/docs/general/Reglement_General.pdf?utm_source=chatgpt.com" TargetMode="External"/><Relationship Id="rId38" Type="http://schemas.openxmlformats.org/officeDocument/2006/relationships/hyperlink" Target="https://www.amf-umoa.org/assets/docs/general/Reglement_General.pdf?utm_source=chatgpt.com" TargetMode="External"/><Relationship Id="rId46" Type="http://schemas.openxmlformats.org/officeDocument/2006/relationships/hyperlink" Target="https://www.bceao.int/fr/publications/rapport-annuel-sur-la-situation-de-linclusion-financiere-dans-luemoa-2024?utm_source=chatgpt.com" TargetMode="External"/><Relationship Id="rId59" Type="http://schemas.openxmlformats.org/officeDocument/2006/relationships/hyperlink" Target="https://www.ifc.org/en/what-we-do/sector-expertise/financial-institutions/msme-finance?utm_source=chatgpt.com" TargetMode="External"/><Relationship Id="rId67" Type="http://schemas.openxmlformats.org/officeDocument/2006/relationships/hyperlink" Target="https://www.lseg.com/en/risk-intelligence/screening-solutions/world-check-kyc-screening?utm_source=chatgpt.com" TargetMode="External"/><Relationship Id="rId20" Type="http://schemas.openxmlformats.org/officeDocument/2006/relationships/hyperlink" Target="https://www.ifc.org/content/dam/ifc/doc/mgrt/ifc-sustainability-framework.pdf?utm_source=chatgpt.com" TargetMode="External"/><Relationship Id="rId41" Type="http://schemas.openxmlformats.org/officeDocument/2006/relationships/hyperlink" Target="https://www.ifc.org/content/dam/ifc/doclink/latest/msme-s-factsheet-ifc-financial-institutions-group.pdf?utm_source=chatgpt.com" TargetMode="External"/><Relationship Id="rId54" Type="http://schemas.openxmlformats.org/officeDocument/2006/relationships/hyperlink" Target="https://www.worldbank.org/en/news/feature/2021/07/07/jumpstarting-small-and-medium-sized-businesses-in-west-africa?utm_source=chatgpt.com" TargetMode="External"/><Relationship Id="rId62" Type="http://schemas.openxmlformats.org/officeDocument/2006/relationships/hyperlink" Target="https://www.affinity.co/?utm_source=chatgpt.com" TargetMode="External"/><Relationship Id="rId70" Type="http://schemas.openxmlformats.org/officeDocument/2006/relationships/hyperlink" Target="https://www.ifc.org/content/dam/ifc/doc/mgrt/ifc-sustainability-framework.pdf?utm_source=chatgpt.com" TargetMode="External"/><Relationship Id="rId75" Type="http://schemas.openxmlformats.org/officeDocument/2006/relationships/hyperlink" Target="https://www.avca.africa/media/jpspd4gb/avca25-14-apca-q3_3.pdf?id=a0SP3000003QzsX&amp;utm_source=chatgpt.com" TargetMode="External"/><Relationship Id="rId1" Type="http://schemas.openxmlformats.org/officeDocument/2006/relationships/numbering" Target="numbering.xml"/><Relationship Id="rId6" Type="http://schemas.openxmlformats.org/officeDocument/2006/relationships/hyperlink" Target="https://www.amf-umoa.org/assets/docs/general/Reglement_General.pdf?utm_source=chatgpt.com" TargetMode="External"/><Relationship Id="rId15" Type="http://schemas.openxmlformats.org/officeDocument/2006/relationships/hyperlink" Target="https://www.ifc.org/en/what-we-do/sector-expertise/financial-institutions/msme-finance?utm_source=chatgpt.com" TargetMode="External"/><Relationship Id="rId23" Type="http://schemas.openxmlformats.org/officeDocument/2006/relationships/hyperlink" Target="https://www.worldbank.org/en/news/feature/2021/07/07/jumpstarting-small-and-medium-sized-businesses-in-west-africa?utm_source=chatgpt.com" TargetMode="External"/><Relationship Id="rId28" Type="http://schemas.openxmlformats.org/officeDocument/2006/relationships/hyperlink" Target="https://www.worldbank.org/en/news/feature/2021/07/07/jumpstarting-small-and-medium-sized-businesses-in-west-africa?utm_source=chatgpt.com" TargetMode="External"/><Relationship Id="rId36" Type="http://schemas.openxmlformats.org/officeDocument/2006/relationships/hyperlink" Target="https://www.amf-umoa.org/assets/docs/general/Reglement_General.pdf?utm_source=chatgpt.com" TargetMode="External"/><Relationship Id="rId49" Type="http://schemas.openxmlformats.org/officeDocument/2006/relationships/hyperlink" Target="https://www.afdb.org/en/topics-and-sectors/initiatives-partnerships/access-to-finance-for-smes-through-fis?utm_source=chatgpt.com" TargetMode="External"/><Relationship Id="rId57" Type="http://schemas.openxmlformats.org/officeDocument/2006/relationships/hyperlink" Target="https://www.intapp.com/dealcloud/?utm_source=chatgpt.com" TargetMode="External"/><Relationship Id="rId10" Type="http://schemas.openxmlformats.org/officeDocument/2006/relationships/hyperlink" Target="https://www.avca.africa/data-intelligence/research-publications/2025-african-private-capital-activity-report/?utm_source=chatgpt.com" TargetMode="External"/><Relationship Id="rId31" Type="http://schemas.openxmlformats.org/officeDocument/2006/relationships/hyperlink" Target="https://www.lseg.com/en/risk-intelligence/screening-solutions/world-check-kyc-screening?utm_source=chatgpt.com" TargetMode="External"/><Relationship Id="rId44" Type="http://schemas.openxmlformats.org/officeDocument/2006/relationships/hyperlink" Target="https://www.avca.africa/data-intelligence/research-publications/2025-african-private-capital-activity-report/?utm_source=chatgpt.com" TargetMode="External"/><Relationship Id="rId52" Type="http://schemas.openxmlformats.org/officeDocument/2006/relationships/hyperlink" Target="https://www.worldbank.org/en/news/feature/2021/07/07/jumpstarting-small-and-medium-sized-businesses-in-west-africa?utm_source=chatgpt.com" TargetMode="External"/><Relationship Id="rId60" Type="http://schemas.openxmlformats.org/officeDocument/2006/relationships/hyperlink" Target="https://www.gsma.com/solutions-and-impact/connectivity-for-good/mobile-for-development/gsma_resources/the-state-of-the-industry-report-on-mobile-money-2025/?utm_source=chatgpt.com" TargetMode="External"/><Relationship Id="rId65" Type="http://schemas.openxmlformats.org/officeDocument/2006/relationships/hyperlink" Target="https://www.lseg.com/en/risk-intelligence/screening-solutions/world-check-kyc-screening?utm_source=chatgpt.com" TargetMode="External"/><Relationship Id="rId73" Type="http://schemas.openxmlformats.org/officeDocument/2006/relationships/hyperlink" Target="https://www.avca.africa/media/jpspd4gb/avca25-14-apca-q3_3.pdf?id=a0SP3000003QzsX&amp;utm_source=chatgpt.com" TargetMode="External"/><Relationship Id="rId4" Type="http://schemas.openxmlformats.org/officeDocument/2006/relationships/webSettings" Target="webSettings.xml"/><Relationship Id="rId9" Type="http://schemas.openxmlformats.org/officeDocument/2006/relationships/hyperlink" Target="https://www.bceao.int/fr/publications/rapport-annuel-sur-la-situation-de-linclusion-financiere-dans-luemoa-2024?utm_source=chatgpt.com" TargetMode="External"/><Relationship Id="rId13" Type="http://schemas.openxmlformats.org/officeDocument/2006/relationships/hyperlink" Target="https://www.intapp.com/dealcloud/?utm_source=chatgpt.com" TargetMode="External"/><Relationship Id="rId18" Type="http://schemas.openxmlformats.org/officeDocument/2006/relationships/hyperlink" Target="https://www.lseg.com/en/risk-intelligence/screening-solutions/world-check-kyc-screening?utm_source=chatgpt.com" TargetMode="External"/><Relationship Id="rId39" Type="http://schemas.openxmlformats.org/officeDocument/2006/relationships/hyperlink" Target="https://www.amf-umoa.org/assets/docs/general/Reglement_General.pdf?utm_source=chatgpt.com" TargetMode="External"/><Relationship Id="rId34" Type="http://schemas.openxmlformats.org/officeDocument/2006/relationships/hyperlink" Target="https://www.ohada.org/en/general-overview/?utm_source=chatgpt.com" TargetMode="External"/><Relationship Id="rId50" Type="http://schemas.openxmlformats.org/officeDocument/2006/relationships/hyperlink" Target="https://www.afdb.org/en/topics-and-sectors/initiatives-partnerships/access-to-finance-for-smes-through-fis?utm_source=chatgpt.com" TargetMode="External"/><Relationship Id="rId55" Type="http://schemas.openxmlformats.org/officeDocument/2006/relationships/hyperlink" Target="https://www.intapp.com/dealcloud/?utm_source=chatgpt.com" TargetMode="External"/><Relationship Id="rId76" Type="http://schemas.openxmlformats.org/officeDocument/2006/relationships/fontTable" Target="fontTable.xml"/><Relationship Id="rId7" Type="http://schemas.openxmlformats.org/officeDocument/2006/relationships/hyperlink" Target="https://www.ifc.org/content/dam/ifc/doclink/latest/msme-s-factsheet-ifc-financial-institutions-group.pdf?utm_source=chatgpt.com" TargetMode="External"/><Relationship Id="rId71" Type="http://schemas.openxmlformats.org/officeDocument/2006/relationships/hyperlink" Target="https://www.datasite.com/en/resources/insights/virtual-data-rooms-for-m-and-a?utm_source=chatgpt.com" TargetMode="External"/><Relationship Id="rId2" Type="http://schemas.openxmlformats.org/officeDocument/2006/relationships/styles" Target="styles.xml"/><Relationship Id="rId29" Type="http://schemas.openxmlformats.org/officeDocument/2006/relationships/hyperlink" Target="https://www.avca.africa/media/jpspd4gb/avca25-14-apca-q3_3.pdf?id=a0SP3000003QzsX&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15</Pages>
  <Words>6473</Words>
  <Characters>35603</Characters>
  <Application>Microsoft Office Word</Application>
  <DocSecurity>0</DocSecurity>
  <Lines>296</Lines>
  <Paragraphs>83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TECHLAB7</dc:creator>
  <cp:keywords/>
  <cp:lastModifiedBy>Sidney Dede</cp:lastModifiedBy>
  <cp:revision>3</cp:revision>
  <cp:lastPrinted>2026-06-28T14:38:00Z</cp:lastPrinted>
  <dcterms:created xsi:type="dcterms:W3CDTF">2026-06-28T13:13:00Z</dcterms:created>
  <dcterms:modified xsi:type="dcterms:W3CDTF">2026-06-28T17:12:00Z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