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WorkSpaces para</w:t>
        <w:br/>
        <w:t>desenvolvedores do Itaú</w:t>
      </w:r>
    </w:p>
    <w:p>
      <w:r>
        <w:rPr>
          <w:b w:val="0"/>
          <w:sz w:val="26"/>
        </w:rPr>
        <w:t>Windows 11 Enterprise BYOL com Docker Desktop e WSL2</w:t>
      </w:r>
    </w:p>
    <w:p>
      <w:r>
        <w:rPr>
          <w:b w:val="0"/>
          <w:sz w:val="20"/>
        </w:rPr>
        <w:t>Relatório técnico para avaliação de adoção</w:t>
        <w:br/>
        <w:t>Destinatários: Engenharia, Plataforma, EUC, Segurança e Gestão de Licenças</w:t>
        <w:br/>
        <w:t>Data de referência: 14 de outubro de 2026  |  Versão 1.0</w:t>
      </w:r>
    </w:p>
    <w:p>
      <w:pPr>
        <w:pStyle w:val="Heading1"/>
      </w:pPr>
      <w:r>
        <w:t>1 Parecer executivo</w:t>
      </w:r>
    </w:p>
    <w:p>
      <w:r>
        <w:rPr>
          <w:b w:val="0"/>
        </w:rPr>
        <w:t>Os desenvolvedores podem utilizar Amazon WorkSpaces Personal com Windows 11 Enterprise BYOL para executar Docker Desktop e WSL2 localmente. A AWS documenta essa capacidade desde 18 de agosto de 2026, mediante habilitação de virtualização aninhada e atendimento aos requisitos de configuração. [01]</w:t>
      </w:r>
    </w:p>
    <w:p>
      <w:r>
        <w:rPr>
          <w:b/>
        </w:rPr>
        <w:t>Recomendação para o Itaú: iniciar uma prova de conceito com PowerPro e comparar com Power e GeneralPurpose.4xlarge nos perfis apropriados. A expansão deve depender do resultado com a stack real, dos controles de segurança e da cobertura de suporte acordada. Essa é uma recomendação de avaliação; não representa homologação já realizada.</w:t>
      </w:r>
    </w:p>
    <w:p>
      <w:pPr>
        <w:pStyle w:val="Heading2"/>
      </w:pPr>
      <w:r>
        <w:t>Condições que determinam a decisão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81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Conclusão para decisão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Viabilidade técnica</w:t>
            </w:r>
          </w:p>
        </w:tc>
        <w:tc>
          <w:tcPr>
            <w:tcW w:type="dxa" w:w="81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Confirmada documentalmente pela AWS para a configuração elegível.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Segurança</w:t>
            </w:r>
          </w:p>
        </w:tc>
        <w:tc>
          <w:tcPr>
            <w:tcW w:type="dxa" w:w="81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Nested virtualization desativa VBS e Credential Guard no Windows WorkSpace. Baseline que exija esses controles impede este desenho sem revisão formal. [06]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Suporte do fabricante</w:t>
            </w:r>
          </w:p>
        </w:tc>
        <w:tc>
          <w:tcPr>
            <w:tcW w:type="dxa" w:w="81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 matriz pública do Docker para VDI não inclui WorkSpaces. Exigir definição da cobertura antes da adoção ampla. [08]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Experiência do desenvolvedor</w:t>
            </w:r>
          </w:p>
        </w:tc>
        <w:tc>
          <w:tcPr>
            <w:tcW w:type="dxa" w:w="813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CPU, RAM, disco, rede, agentes corporativos e comportamento de retomada precisam ser medidos na POC.</w:t>
            </w:r>
          </w:p>
        </w:tc>
      </w:tr>
    </w:tbl>
    <w:p>
      <w:pPr>
        <w:spacing w:after="0"/>
      </w:pPr>
    </w:p>
    <w:p>
      <w:pPr>
        <w:pStyle w:val="Heading2"/>
      </w:pPr>
      <w:r>
        <w:t>Escopo da recomendação</w:t>
      </w:r>
    </w:p>
    <w:p>
      <w:r>
        <w:rPr>
          <w:b w:val="0"/>
        </w:rPr>
        <w:t>A referência é WorkSpaces Personal, persistente, com protocolo Amazon DCV e imagem Windows 11 Enterprise BYOL. A avaliação contempla ferramentas de desenvolvimento, containers Linux via WSL2, dimensionamento e operação. O relatório não estende automaticamente essa conclusão a WorkSpaces Pools, Applications ou Core Managed Instances, que possuem características e procedimentos próprios. [04, 09]</w:t>
      </w:r>
    </w:p>
    <w:p>
      <w:pPr>
        <w:spacing w:before="80"/>
      </w:pPr>
      <w:r>
        <w:rPr>
          <w:b w:val="0"/>
          <w:sz w:val="18"/>
        </w:rPr>
        <w:t>Leitura: requisitos na seção 2; catálogo dos 25 compute types nas seções 3 e 4; condições de adoção nas seções 5 a 8; referências numeradas ao final.</w:t>
      </w:r>
    </w:p>
    <w:p>
      <w:r>
        <w:br w:type="page"/>
      </w:r>
    </w:p>
    <w:p>
      <w:pPr>
        <w:pStyle w:val="Heading1"/>
      </w:pPr>
      <w:r>
        <w:t>2 Requisitos de compatibilidade</w:t>
      </w:r>
    </w:p>
    <w:p>
      <w:r>
        <w:rPr>
          <w:b w:val="0"/>
        </w:rPr>
        <w:t>A licença Windows BYOL, por si só, não substitui a configuração do hipervisor. O WorkSpace deve expor as extensões de virtualização ao Windows; o WSL2 e o backend do Docker utilizam essa capacidade. A AWS descreve o uso das instruções padrão do Docker para WSL2 x86_64 nesse ambiente. [10]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82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Requisito ou limite documentado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Produto e protocolo</w:t>
            </w:r>
          </w:p>
        </w:tc>
        <w:tc>
          <w:tcPr>
            <w:tcW w:type="dxa" w:w="82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Para este desenho: WorkSpaces Personal com DCV, também identificado como WSP. BYOP pertence à integração WorkSpaces Core; PCoIP não atende ao recurso. [01, 05]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Sistema operacional</w:t>
            </w:r>
          </w:p>
        </w:tc>
        <w:tc>
          <w:tcPr>
            <w:tcW w:type="dxa" w:w="82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Windows 11 Enterprise x64 BYOL, em versão suportada pela Microsoft e elegível na AWS. Windows N não é aceito no BYOL. [03, 04]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Docker e WSL2</w:t>
            </w:r>
          </w:p>
        </w:tc>
        <w:tc>
          <w:tcPr>
            <w:tcW w:type="dxa" w:w="82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Docker lista Windows 11 23H2 ou superior, ainda em suporte, WSL 2.1.5 ou superior e 8 GB de RAM. Enhanced Container Isolation (ECI), quando adotado, exige WSL 2.6 ou superior. [07]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Compute</w:t>
            </w:r>
          </w:p>
        </w:tc>
        <w:tc>
          <w:tcPr>
            <w:tcW w:type="dxa" w:w="82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Standard, Performance, Power, PowerPro e GeneralPurpose admitem nested virtualization. AWS recomenda Power ou superior. Value e todos os bundles GPU são excluídos. [02]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Região</w:t>
            </w:r>
          </w:p>
        </w:tc>
        <w:tc>
          <w:tcPr>
            <w:tcW w:type="dxa" w:w="82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Recurso disponível nas regiões Personal, exceto Ningxia e Tel Aviv. São Paulo consta entre as regiões Personal, portanto está abrangida pela regra. [01, 13]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Habilitação</w:t>
            </w:r>
          </w:p>
        </w:tc>
        <w:tc>
          <w:tcPr>
            <w:tcW w:type="dxa" w:w="82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Ativar Nested Virtualization e verificar o estado efetivo. A alteração envolve reinicialização. [02, 12]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Resiliência</w:t>
            </w:r>
          </w:p>
        </w:tc>
        <w:tc>
          <w:tcPr>
            <w:tcW w:type="dxa" w:w="820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Standby WorkSpaces não suporta nested virtualization. O desenho de continuidade precisa considerar essa restrição. [02]</w:t>
            </w:r>
          </w:p>
        </w:tc>
      </w:tr>
    </w:tbl>
    <w:p>
      <w:pPr>
        <w:spacing w:after="0"/>
      </w:pPr>
    </w:p>
    <w:p>
      <w:pPr>
        <w:pStyle w:val="Heading2"/>
      </w:pPr>
      <w:r>
        <w:t>Interseção entre os requisitos</w:t>
      </w:r>
    </w:p>
    <w:p>
      <w:r>
        <w:rPr>
          <w:b w:val="0"/>
        </w:rPr>
        <w:t>Standard tem apenas 4 GiB de RAM: apesar da elegibilidade do recurso AWS, fica abaixo do mínimo publicado pelo Docker. Performance tem 8 GiB e alcança esse mínimo, porém oferece pouca folga para Windows, IDE, navegador, agentes e containers. Para desenvolvimento local, a referência inicial é Power ou superior. [05, 07, 11]</w:t>
      </w:r>
    </w:p>
    <w:p>
      <w:r>
        <w:rPr>
          <w:b w:val="0"/>
        </w:rPr>
        <w:t>O suporte AWS à virtualização em Windows Server não significa suporte do Docker Desktop nesse sistema. O fabricante exclui Windows Server do Docker Desktop; por isso, manter Windows 11 Enterprise BYOL neste projeto. [07]</w:t>
      </w:r>
    </w:p>
    <w:p>
      <w:pPr>
        <w:spacing w:before="80"/>
      </w:pPr>
      <w:r>
        <w:rPr>
          <w:b w:val="0"/>
          <w:sz w:val="18"/>
        </w:rPr>
        <w:t>Compatibilidade de plataforma não garante tempo de build, quantidade de containers ou desempenho equivalentes à estação atual. Esses parâmetros são critérios de POC.</w:t>
      </w:r>
    </w:p>
    <w:p>
      <w:r>
        <w:br w:type="page"/>
      </w:r>
    </w:p>
    <w:p>
      <w:pPr>
        <w:pStyle w:val="Heading1"/>
      </w:pPr>
      <w:r>
        <w:t>3 Compute types sem GPU e suas aplicações</w:t>
      </w:r>
    </w:p>
    <w:p>
      <w:r>
        <w:rPr>
          <w:b w:val="0"/>
        </w:rPr>
        <w:t>Compute type define capacidade de processamento e memória. O bundle combina essa capacidade com sistema operacional, armazenamento e software. As aplicações abaixo são exemplos para dimensionamento e homologação; não significam instalação automática, licença incluída ou certificação de uma versão específica. [04]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1152"/>
        <w:gridCol w:w="1728"/>
        <w:gridCol w:w="5011"/>
      </w:tblGrid>
      <w:tr>
        <w:trPr>
          <w:cantSplit/>
          <w:tblHeader/>
        </w:trPr>
        <w:tc>
          <w:tcPr>
            <w:tcW w:type="dxa" w:w="23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Compute type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vCPU / RAM</w:t>
              <w:br/>
              <w:t>GiB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Docker local</w:t>
              <w:br/>
              <w:t>via WSL2</w:t>
            </w:r>
          </w:p>
        </w:tc>
        <w:tc>
          <w:tcPr>
            <w:tcW w:type="dxa" w:w="50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Aplicações e perfil sugeridos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Value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 / 2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Não</w:t>
            </w:r>
          </w:p>
        </w:tc>
        <w:tc>
          <w:tcPr>
            <w:tcW w:type="dxa" w:w="50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Digitação e navegação mínima. Sem Windows 11 BYOL; fora do perfil de desenvolvimento.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Standard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 / 4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Não atende</w:t>
              <w:br/>
              <w:t>RAM mínima</w:t>
            </w:r>
          </w:p>
        </w:tc>
        <w:tc>
          <w:tcPr>
            <w:tcW w:type="dxa" w:w="50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Web, e-mail, bastion e acesso a IDE remota. Evitar build e containers locais.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Performance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 / 8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Elegível;</w:t>
              <w:br/>
              <w:t>restrito</w:t>
            </w:r>
          </w:p>
        </w:tc>
        <w:tc>
          <w:tcPr>
            <w:tcW w:type="dxa" w:w="50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Produtividade, terminais e ferramentas que acessam ambientes remotos. Não adotar como padrão para stack local.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Power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4 / 16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Candidato</w:t>
            </w:r>
          </w:p>
        </w:tc>
        <w:tc>
          <w:tcPr>
            <w:tcW w:type="dxa" w:w="50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VS Code, Git, Postman e desenvolvimento web/API com poucos serviços leves. Medir uso simultâneo.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PowerPro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8 / 32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Preferencial</w:t>
              <w:br/>
              <w:t>para POC</w:t>
            </w:r>
          </w:p>
        </w:tc>
        <w:tc>
          <w:tcPr>
            <w:tcW w:type="dxa" w:w="50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IntelliJ ou Visual Studio, Docker Compose, testes e depuração de aplicações corporativas.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GeneralPurpose.4xlarge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16 / 64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Candidato</w:t>
              <w:br/>
              <w:t>para carga alta</w:t>
            </w:r>
          </w:p>
        </w:tc>
        <w:tc>
          <w:tcPr>
            <w:tcW w:type="dxa" w:w="50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Grandes builds em Visual Studio, IntelliJ ou Eclipse; múltiplos serviços; análise de dados.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GeneralPurpose.8xlarge</w:t>
            </w:r>
          </w:p>
        </w:tc>
        <w:tc>
          <w:tcPr>
            <w:tcW w:type="dxa" w:w="11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32 / 128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Exceção</w:t>
              <w:br/>
              <w:t>por métricas</w:t>
            </w:r>
          </w:p>
        </w:tc>
        <w:tc>
          <w:tcPr>
            <w:tcW w:type="dxa" w:w="501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Monorepos, compilação paralela, simulações em MATLAB, GNU Octave, R ou Stata.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b w:val="0"/>
          <w:sz w:val="18"/>
        </w:rPr>
        <w:t>Capacidade: [05]. Perfis gerais AWS: [09]. Aplicações GeneralPurpose citadas pela AWS: [14]. As escolhas de ferramentas e a classificação para a POC são recomendações técnicas deste relatório.</w:t>
      </w:r>
    </w:p>
    <w:p>
      <w:pPr>
        <w:pStyle w:val="Heading2"/>
      </w:pPr>
      <w:r>
        <w:t>Como escolher para o piloto</w:t>
      </w:r>
    </w:p>
    <w:p>
      <w:r>
        <w:rPr>
          <w:b w:val="0"/>
        </w:rPr>
        <w:t>PowerPro é o ponto inicial proposto para o desenvolvedor com IDE, navegador, agentes de segurança e Docker Compose. Power permite avaliar o perfil mais econômico. GeneralPurpose.4xlarge atende ao grupo com builds e consumo de memória maiores. Usar GeneralPurpose.8xlarge quando os dados mostrarem benefício suficiente para justificar a capacidade adicional.</w:t>
      </w:r>
    </w:p>
    <w:p>
      <w:r>
        <w:rPr>
          <w:b w:val="0"/>
        </w:rPr>
        <w:t>Não fixar capacidade por número de containers: um banco de dados, uma JVM ou um serviço de busca pode consumir mais memória que diversos serviços pequenos. Dimensionar pelo projeto representativo e pelo pico de uso simultâneo.</w:t>
      </w:r>
    </w:p>
    <w:p>
      <w:pPr>
        <w:spacing w:before="80"/>
      </w:pPr>
      <w:r>
        <w:rPr>
          <w:b w:val="0"/>
          <w:sz w:val="18"/>
        </w:rPr>
        <w:t>A AWS associa Power a IDE e recomenda Power ou superior para nested virtualization. A seção Power do catálogo contém redação divergente sobre ferramentas de desenvolvimento; as referências específicas [09] e [10] sustentam a orientação adotada.</w:t>
      </w:r>
    </w:p>
    <w:p>
      <w:r>
        <w:br w:type="page"/>
      </w:r>
    </w:p>
    <w:p>
      <w:pPr>
        <w:pStyle w:val="Heading1"/>
      </w:pPr>
      <w:r>
        <w:t>4 Compute types com GPU e suas aplicações</w:t>
      </w:r>
    </w:p>
    <w:p>
      <w:r>
        <w:rPr>
          <w:b w:val="0"/>
        </w:rPr>
        <w:t>Os 18 tipos abaixo ampliam capacidade gráfica. Todos estão fora do suporte a nested virtualization; portanto, não são candidatos ao Docker Desktop com WSL2 local neste desenho. Avaliar aplicações nativas Windows ou execução remota de containers. [04, 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"/>
        <w:gridCol w:w="792"/>
        <w:gridCol w:w="1440"/>
        <w:gridCol w:w="3701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Compute type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vCPU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RAM</w:t>
              <w:br/>
              <w:t>GiB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GPU / VRAM</w:t>
              <w:br/>
              <w:t>GiB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Aplicação sugerida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Graphics.g4dn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16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 e design moderado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GraphicsPro.g4dn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16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Renderização e GIS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Graphics.g6f.large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1/8 / 3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Visualização leve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Graphics.g6f.xlarge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1/8 / 3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Design e CAD leve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Graphics.g6f.2xlarge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1/4 / 6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 e visualização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Graphics.g6f.4xlarge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1/2 / 12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CAD e 3D intermediário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Graphics.gr6f.4xlarge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1/2 / 12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Visualização com alta RAM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Graphics.g6.xlarge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24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Inferência pequena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Graphics.g6.2xlarge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24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Design 3D e inferência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Graphics.g6.4xlarge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24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Renderização e vídeo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Graphics.g6.8xlarge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24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GIS e processamento 3D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Graphics.g6.16xlarge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24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CPU e RAM altas com GPU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Graphics.gr6.4xlarge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24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GIS e dados em memória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Graphics.gr6.8xlarge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24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Datasets e cenas grandes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Graphics.g7.2xlarge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32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Gráficos e inferência 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Graphics.g7.4xlarge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32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Renderização e IA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Graphics.g7.8xlarge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 / 32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IA e cenas 3D maiores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Graphics.g7.12xlarge</w:t>
            </w:r>
          </w:p>
        </w:tc>
        <w:tc>
          <w:tcPr>
            <w:tcW w:type="dxa" w:w="69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192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 / 64*</w:t>
            </w:r>
          </w:p>
        </w:tc>
        <w:tc>
          <w:tcPr>
            <w:tcW w:type="dxa" w:w="3701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Aplicações multi GPU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b w:val="0"/>
          <w:sz w:val="18"/>
        </w:rPr>
        <w:t>Especificações: [05]. *64 GiB de VRAM no total das duas GPUs; não presumir um único espaço de memória de 64 GiB. Perfis por família: [15, 16]. A aplicação e sua versão devem ser homologadas para GPU e drivers.</w:t>
      </w:r>
    </w:p>
    <w:p>
      <w:r>
        <w:rPr>
          <w:b w:val="0"/>
          <w:sz w:val="20"/>
        </w:rPr>
        <w:t>Disponibilidade regional: G4dn, G6/Gr6/G6f e GeneralPurpose possuem referência de disponibilidade em São Paulo. G7 está listado apenas em Virgínia, Ohio e Oregon. Confirmar bundle BYOL, quota e capacidade da conta antes do provisionamento. [05, 13, 14, 15, 16]</w:t>
      </w:r>
    </w:p>
    <w:p>
      <w:pPr>
        <w:spacing w:before="80"/>
      </w:pPr>
      <w:r>
        <w:rPr>
          <w:b w:val="0"/>
          <w:sz w:val="18"/>
        </w:rPr>
        <w:t>Legados: Graphics encerrou suporte em 30/11/2023; GraphicsPro em 31/10/2025. GraphicsPro.g4dn é um tipo distinto e continua no catálogo atual. [05]</w:t>
      </w:r>
    </w:p>
    <w:p>
      <w:r>
        <w:br w:type="page"/>
      </w:r>
    </w:p>
    <w:p>
      <w:pPr>
        <w:pStyle w:val="Heading1"/>
      </w:pPr>
      <w:r>
        <w:t>5 Segurança e fronteiras de suporte</w:t>
      </w:r>
    </w:p>
    <w:p>
      <w:pPr>
        <w:pStyle w:val="Heading2"/>
      </w:pPr>
      <w:r>
        <w:t>VBS e Credential Guard</w:t>
      </w:r>
    </w:p>
    <w:p>
      <w:r>
        <w:rPr>
          <w:b w:val="0"/>
        </w:rPr>
        <w:t>A documentação específica do WorkSpaces afirma que habilitar nested virtualization desativa automaticamente Virtualization-Based Security e Credential Guard; ambos não podem coexistir com o recurso no mesmo Windows WorkSpace. A AWS também descreve perda de HVCI e redução das proteções de credenciais e do kernel. Essa é uma condição do serviço AWS, não uma afirmação universal sobre qualquer Windows ou qualquer uso de WSL2. [06]</w:t>
      </w:r>
    </w:p>
    <w:p>
      <w:r>
        <w:rPr>
          <w:b w:val="0"/>
        </w:rPr>
        <w:t>Consequência para o Itaú: se o baseline corporativo exigir esses controles, a solução de containers locais não atende ao baseline sem decisão formal de Segurança. EDR, segmentação e restrição de privilégios podem integrar a avaliação, mas não devem ser declarados substitutos equivalentes dessas proteções.</w:t>
      </w:r>
    </w:p>
    <w:p>
      <w:pPr>
        <w:pStyle w:val="Heading2"/>
      </w:pPr>
      <w:r>
        <w:t>Suporte AWS e suporte Docker</w:t>
      </w:r>
    </w:p>
    <w:p>
      <w:r>
        <w:rPr>
          <w:b w:val="0"/>
        </w:rPr>
        <w:t>A AWS confirma a capacidade de executar Docker Desktop/WSL2 e orienta habilitar nested virtualization. Essa capacidade não equivale a uma garantia contratual de suporte do fabricante do aplicativo. [10, 12]</w:t>
      </w:r>
    </w:p>
    <w:p>
      <w:r>
        <w:rPr>
          <w:b w:val="0"/>
        </w:rPr>
        <w:t>Na matriz pública Docker para VDI, as plataformas suportadas são VMware ESXi, Azure VM e VDI baseado em Nutanix; os demais hipervisores são classificados como não suportados. WorkSpaces não está listado. O suporte VDI é restrito a clientes Docker Business, mas a assinatura, isoladamente, não amplia a lista de plataformas. [08]</w:t>
      </w:r>
    </w:p>
    <w:p>
      <w:r>
        <w:rPr>
          <w:b w:val="0"/>
        </w:rPr>
        <w:t>Recomendação: registrar com AWS e Docker a cobertura para WorkSpaces Personal + Windows 11 Enterprise BYOL + backend WSL2, incluindo a responsabilidade por diagnóstico e incidentes. Se a política do Itaú exigir suporte formal de ambos, a ausência de cobertura precisa ser resolvida antes do rollout.</w:t>
      </w:r>
    </w:p>
    <w:p>
      <w:pPr>
        <w:pStyle w:val="Heading2"/>
      </w:pPr>
      <w:r>
        <w:t>Privilégios e cadeia de ferramentas</w:t>
      </w:r>
    </w:p>
    <w:p>
      <w:r>
        <w:rPr>
          <w:b w:val="0"/>
        </w:rPr>
        <w:t>A documentação atual do Docker admite instalação por usuário com backend WSL2; não presumir administrador local permanente para todo desenvolvedor. A habilitação inicial dos componentes Windows, opções com Hyper-V e containers Windows exigem avaliação própria de privilégios e modo de instalação. [07]</w:t>
      </w:r>
    </w:p>
    <w:p>
      <w:r>
        <w:rPr>
          <w:b w:val="0"/>
        </w:rPr>
        <w:t>Na POC, validar a imagem com EDR, DLP, proxy, certificados corporativos, GPO/MDM e controles de acesso realmente utilizados. Testar autenticação nos repositórios, registries e gerenciadores de pacotes. Manter as políticas corporativas durante a medição, pois desativá-las produziria uma comparação pouco representativa.</w:t>
      </w:r>
    </w:p>
    <w:p>
      <w:pPr>
        <w:pStyle w:val="Heading2"/>
      </w:pPr>
      <w:r>
        <w:t>Alternativa quando o baseline impedir containers locais</w:t>
      </w:r>
    </w:p>
    <w:p>
      <w:r>
        <w:rPr>
          <w:b w:val="0"/>
        </w:rPr>
        <w:t>Manter nested virtualization desabilitada e executar containers em ambiente remoto aprovado, acessado pela IDE ou CLI. A AWS também apresenta Docker Offload como alternativa de computação remota; sua adoção requer avaliação específica de localização dos dados, acesso a código, conectividade, suporte e contratação. Não pressupor que esse serviço esteja aprovado pelo Itaú. [11]</w:t>
      </w:r>
    </w:p>
    <w:p>
      <w:r>
        <w:br w:type="page"/>
      </w:r>
    </w:p>
    <w:p>
      <w:pPr>
        <w:pStyle w:val="Heading1"/>
      </w:pPr>
      <w:r>
        <w:t>6 Procedimento de implantação e operação</w:t>
      </w:r>
    </w:p>
    <w:p>
      <w:r>
        <w:rPr>
          <w:b w:val="0"/>
        </w:rPr>
        <w:t>Procedimento de referência para a equipe administradora, após validação do baseline e da licença. Os comandos AWS CLI usam sintaxe Bash, como no AWS CloudShell, e São Paulo como exemplo; substituir o identificador e ajustar a região. Não foram executadas alterações em conta AWS para este relatório.</w:t>
      </w:r>
    </w:p>
    <w:p>
      <w:pPr>
        <w:pStyle w:val="Heading2"/>
      </w:pPr>
      <w:r>
        <w:t>Habilitação do recurso</w:t>
      </w:r>
    </w:p>
    <w:p>
      <w:r>
        <w:rPr>
          <w:b w:val="0"/>
        </w:rPr>
        <w:t>1. Selecionar WorkSpaces Personal com Windows 11 Enterprise BYOL e DCV. Registrar bundle, versão da imagem, modo de execução e controles de segurança antes da mudança.</w:t>
      </w:r>
    </w:p>
    <w:p>
      <w:r>
        <w:rPr>
          <w:b w:val="0"/>
        </w:rPr>
        <w:t>2. No console: WorkSpaces → selecionar o WorkSpace → Actions → Enable Nested Virtualization. Na criação, usar Customization → Nested virtualization. Planejar a reinicialização e salvar o trabalho. [02, 12]</w:t>
      </w:r>
    </w:p>
    <w:p>
      <w:pPr>
        <w:spacing w:after="140" w:line="240" w:lineRule="auto"/>
      </w:pPr>
      <w:r>
        <w:rPr>
          <w:b w:val="0"/>
        </w:rPr>
      </w:r>
      <w:r>
        <w:rPr>
          <w:rFonts w:ascii="DejaVu Sans Mono" w:hAnsi="DejaVu Sans Mono"/>
          <w:sz w:val="18"/>
        </w:rPr>
        <w:t>aws workspaces modify-workspace-properties \</w:t>
      </w:r>
      <w:r>
        <w:rPr>
          <w:rFonts w:ascii="DejaVu Sans Mono" w:hAnsi="DejaVu Sans Mono"/>
          <w:sz w:val="18"/>
        </w:rPr>
        <w:br/>
        <w:t xml:space="preserve">  --workspace-id ws-XXXXXXXXX \</w:t>
      </w:r>
      <w:r>
        <w:rPr>
          <w:rFonts w:ascii="DejaVu Sans Mono" w:hAnsi="DejaVu Sans Mono"/>
          <w:sz w:val="18"/>
        </w:rPr>
        <w:br/>
        <w:t xml:space="preserve">  --region sa-east-1 \</w:t>
      </w:r>
      <w:r>
        <w:rPr>
          <w:rFonts w:ascii="DejaVu Sans Mono" w:hAnsi="DejaVu Sans Mono"/>
          <w:sz w:val="18"/>
        </w:rPr>
        <w:br/>
        <w:t xml:space="preserve">  --workspace-properties NestedVirtualizationEnabled=true</w:t>
      </w:r>
    </w:p>
    <w:p>
      <w:r>
        <w:rPr>
          <w:b w:val="0"/>
        </w:rPr>
        <w:t>3. Aguardar a conclusão e confirmar no console ou na resposta da consulta que WorkspaceProperties.NestedVirtualizationEnabled está true. Conferir também protocolo e compute. [02, 12]</w:t>
      </w:r>
    </w:p>
    <w:p>
      <w:pPr>
        <w:spacing w:after="140" w:line="240" w:lineRule="auto"/>
      </w:pPr>
      <w:r>
        <w:rPr>
          <w:b w:val="0"/>
        </w:rPr>
      </w:r>
      <w:r>
        <w:rPr>
          <w:rFonts w:ascii="DejaVu Sans Mono" w:hAnsi="DejaVu Sans Mono"/>
          <w:sz w:val="18"/>
        </w:rPr>
        <w:t>aws workspaces describe-workspaces \</w:t>
      </w:r>
      <w:r>
        <w:rPr>
          <w:rFonts w:ascii="DejaVu Sans Mono" w:hAnsi="DejaVu Sans Mono"/>
          <w:sz w:val="18"/>
        </w:rPr>
        <w:br/>
        <w:t xml:space="preserve">  --workspace-ids ws-XXXXXXXXX --region sa-east-1</w:t>
      </w:r>
    </w:p>
    <w:p>
      <w:r>
        <w:rPr>
          <w:b w:val="0"/>
        </w:rPr>
        <w:t>4. Habilitar e atualizar WSL2 pela rotina corporativa; instalar o Docker Desktop no modo homologado, selecionar o backend WSL2 e executar a stack de testes. A AWS referencia o fluxo padrão WSL2 x86_64 do Docker. [10]</w:t>
      </w:r>
    </w:p>
    <w:p>
      <w:pPr>
        <w:spacing w:after="140" w:line="240" w:lineRule="auto"/>
      </w:pPr>
      <w:r>
        <w:rPr>
          <w:b w:val="0"/>
        </w:rPr>
      </w:r>
      <w:r>
        <w:rPr>
          <w:rFonts w:ascii="DejaVu Sans Mono" w:hAnsi="DejaVu Sans Mono"/>
          <w:sz w:val="18"/>
        </w:rPr>
        <w:t>wsl --version</w:t>
      </w:r>
      <w:r>
        <w:rPr>
          <w:rFonts w:ascii="DejaVu Sans Mono" w:hAnsi="DejaVu Sans Mono"/>
          <w:sz w:val="18"/>
        </w:rPr>
        <w:br/>
        <w:t>wsl --status</w:t>
      </w:r>
      <w:r>
        <w:rPr>
          <w:rFonts w:ascii="DejaVu Sans Mono" w:hAnsi="DejaVu Sans Mono"/>
          <w:sz w:val="18"/>
        </w:rPr>
        <w:br/>
        <w:t>docker version</w:t>
      </w:r>
      <w:r>
        <w:rPr>
          <w:rFonts w:ascii="DejaVu Sans Mono" w:hAnsi="DejaVu Sans Mono"/>
          <w:sz w:val="18"/>
        </w:rPr>
        <w:br/>
        <w:t>docker info</w:t>
      </w:r>
      <w:r>
        <w:rPr>
          <w:rFonts w:ascii="DejaVu Sans Mono" w:hAnsi="DejaVu Sans Mono"/>
          <w:sz w:val="18"/>
        </w:rPr>
        <w:br/>
        <w:t>docker compose version</w:t>
      </w:r>
    </w:p>
    <w:p>
      <w:pPr>
        <w:pStyle w:val="Heading2"/>
      </w:pPr>
      <w:r>
        <w:t>Sessão e recuperação</w:t>
      </w:r>
    </w:p>
    <w:p>
      <w:r>
        <w:rPr>
          <w:b w:val="0"/>
        </w:rPr>
        <w:t>Em Windows 11 24H2/25H2 com nested virtualization, AutoStop não preserva a sessão por hibernação: programas são encerrados e trabalho não salvo é perdido. GeneralPurpose.4xlarge e .8xlarge também não hibernam em AutoStop. Arquivos já gravados não se tornam automaticamente descartáveis por esse motivo. Preferir AlwaysOn quando continuidade da sessão for necessária. [17]</w:t>
      </w:r>
    </w:p>
    <w:p>
      <w:r>
        <w:rPr>
          <w:b w:val="0"/>
        </w:rPr>
        <w:t>Uma mudança de compute reinicia e desconecta o usuário. Migração de bundle recria o volume raiz; preservar o indicador de nested virtualization não garante preservação de todas as instalações ou dos discos locais do Docker/WSL. Testar backup e restauração antes de operações destrutivas. [18, 19]</w:t>
      </w:r>
    </w:p>
    <w:p>
      <w:pPr>
        <w:spacing w:before="80"/>
      </w:pPr>
      <w:r>
        <w:rPr>
          <w:b w:val="0"/>
          <w:sz w:val="18"/>
        </w:rPr>
        <w:t>Reversão proposta: encerrar containers, preservar dados necessários, desabilitar NestedVirtualizationEnabled e revalidar o baseline. Não presumir reativação automática de VBS/Credential Guard; verificar o estado efetivo e reaplicar a configuração corporativa.</w:t>
      </w:r>
    </w:p>
    <w:p>
      <w:r>
        <w:br w:type="page"/>
      </w:r>
    </w:p>
    <w:p>
      <w:pPr>
        <w:pStyle w:val="Heading1"/>
      </w:pPr>
      <w:r>
        <w:t>7 Prova de conceito e critérios de aceite</w:t>
      </w:r>
    </w:p>
    <w:p>
      <w:r>
        <w:rPr>
          <w:b w:val="0"/>
        </w:rPr>
        <w:t>Proposta técnica: selecionar projetos reais de frontend/API, backend com serviços dependentes e uma carga de build intensiva. Comparar Power, PowerPro e GeneralPurpose.4xlarge com a estação de referência, usando as mesmas versões, políticas e dependências. Os critérios abaixo são recomendações para homologação, não limites publicados pela AWS.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6552"/>
        <w:gridCol w:w="201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Teste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Evidência e critério de aceite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3B53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Responsável sugerido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Configuração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Versões, protocolo, compute, modo e nested registrados; configuração corresponde à aprovada.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EUC / Plataforma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Segurança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Estado de VBS, Credential Guard e HVCI antes/depois; parecer sobre impacto no baseline.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Segurança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Stack e depuração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Build, testes, Compose, volumes, bind mounts, portas e debugger funcionam no projeto representativo.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Engenharia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Rede corporativa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Git, registry, DNS, proxy, certificados e pacotes acessíveis; ausência de conflito de rotas/CIDRs.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Redes / Plataforma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Capacidade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CPU, RAM, paginação, disco e tempo de build frio/quente medidos; meta aprovada pelo time.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Engenharia / EUC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Experiência remota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Latência, fluidez da IDE, reuniões e compartilhamento avaliados nos locais reais de acesso.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EUC / Usuários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Ciclo de sessão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Reinício e retorno testados; se AutoStop for usado, aceite da perda de sessão e tempo de retomada.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EUC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Recuperação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Projeto e dados persistentes recuperáveis após cenário de falha ensaiado; procedimento repetível.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Plataforma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Suporte e licença</w:t>
            </w:r>
          </w:p>
        </w:tc>
        <w:tc>
          <w:tcPr>
            <w:tcW w:type="dxa" w:w="6552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Direito de uso e caminho de suporte definidos; eventual lacuna formalmente tratada.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keepNext w:val="0"/>
              <w:spacing w:before="0" w:after="0" w:line="245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Licenças / Suporte</w:t>
            </w:r>
          </w:p>
        </w:tc>
      </w:tr>
    </w:tbl>
    <w:p>
      <w:pPr>
        <w:spacing w:after="0"/>
      </w:pPr>
    </w:p>
    <w:p>
      <w:pPr>
        <w:pStyle w:val="Heading2"/>
      </w:pPr>
      <w:r>
        <w:t>Critério de aprovação</w:t>
      </w:r>
    </w:p>
    <w:p>
      <w:r>
        <w:rPr>
          <w:b w:val="0"/>
        </w:rPr>
        <w:t>Aprovar por perfil de desenvolvedor somente quando os testes funcionais passarem, as metas de desempenho forem atendidas e as condições de segurança, licenciamento e suporte estiverem resolvidas. Se VBS/Credential Guard for requisito inegociável, reprovar o desenho de containers locais e avaliar execução remota.</w:t>
      </w:r>
    </w:p>
    <w:p>
      <w:r>
        <w:rPr>
          <w:b w:val="0"/>
        </w:rPr>
        <w:t>Não usar apenas um teste hello-world como aceite. Registrar tempos em execuções repetidas e incluir o pico de uso com navegador, IDE e agentes ativos. Definir as metas antes da medição evita selecionar o compute somente pela percepção de velocidade.</w:t>
      </w:r>
    </w:p>
    <w:p>
      <w:pPr>
        <w:spacing w:before="80"/>
      </w:pPr>
      <w:r>
        <w:rPr>
          <w:b w:val="0"/>
          <w:sz w:val="18"/>
        </w:rPr>
        <w:t>A AWS recomenda testar os aplicativos do cotidiano antes de escolher o bundle. Para DCV, orienta RTT inferior a 250 ms para melhor experiência; isso é referência do serviço, não uma meta suficiente de produtividade para o Itaú. [05]</w:t>
      </w:r>
    </w:p>
    <w:p>
      <w:r>
        <w:br w:type="page"/>
      </w:r>
    </w:p>
    <w:p>
      <w:pPr>
        <w:pStyle w:val="Heading1"/>
      </w:pPr>
      <w:r>
        <w:t>8 Licenciamento custos e adoção</w:t>
      </w:r>
    </w:p>
    <w:p>
      <w:pPr>
        <w:pStyle w:val="Heading2"/>
      </w:pPr>
      <w:r>
        <w:t>Windows BYOL e imagem corporativa</w:t>
      </w:r>
    </w:p>
    <w:p>
      <w:r>
        <w:rPr>
          <w:b w:val="0"/>
        </w:rPr>
        <w:t>O BYOL deve estar habilitado na região, e o contrato Microsoft deve permitir o uso em ambiente virtual hospedado. A AWS provisiona hardware dedicado; isso não exige transformar a VPC em dedicated tenancy. Para bundles sem GPU, a regra publicada é mínimo de 50 WorkSpaces por região/mês, com carência de seis meses e possibilidade de cobrança do mínimo após esse período. A documentação prevê composição com usos elegíveis de WorkSpaces Applications e regras regionais específicas. [03]</w:t>
      </w:r>
    </w:p>
    <w:p>
      <w:r>
        <w:rPr>
          <w:b w:val="0"/>
        </w:rPr>
        <w:t>Para a imagem Windows 11, considerar a restrição AWS: uma imagem derivada de sistema que passou por upgrade de versão do Windows, por exemplo 23H2 para 24H2, não é aceita para criação de imagem. Atualizações cumulativas e de segurança são permitidas. Planejar a imagem base conforme o processo BYOL. [03]</w:t>
      </w:r>
    </w:p>
    <w:p>
      <w:pPr>
        <w:pStyle w:val="Heading2"/>
      </w:pPr>
      <w:r>
        <w:t>Docker Desktop</w:t>
      </w:r>
    </w:p>
    <w:p>
      <w:r>
        <w:rPr>
          <w:b w:val="0"/>
        </w:rPr>
        <w:t>O uso comercial em grandes empresas exige assinatura paga do Docker Desktop, segundo os critérios publicados pelo fabricante. Direito de uso e cobertura de suporte VDI são assuntos distintos; registrar ambos no processo de contratação. [07, 08]</w:t>
      </w:r>
    </w:p>
    <w:p>
      <w:pPr>
        <w:pStyle w:val="Heading2"/>
      </w:pPr>
      <w:r>
        <w:t>Composição do custo</w:t>
      </w:r>
    </w:p>
    <w:p>
      <w:r>
        <w:rPr>
          <w:b w:val="0"/>
        </w:rPr>
        <w:t>A AWS não cobra adicional específico por nested virtualization. O custo continua dependente de região, compute, volumes e modo de execução. AlwaysOn usa cobrança mensal; AutoStop combina parcela mensal fixa e uso horário. Considerar ainda licenças, diretório, rede, armazenamento e ferramentas corporativas aplicáveis. A comparação deve incluir o tempo de produtividade perdido ou ganho, não somente a tarifa do desktop. [02, 09]</w:t>
      </w:r>
    </w:p>
    <w:p>
      <w:r>
        <w:rPr>
          <w:b w:val="0"/>
        </w:rPr>
        <w:t>Recomendação: cotar Power, PowerPro e GeneralPurpose.4xlarge para a mesma região, volumes e modelo BYOL. Utilizar as horas reais e as condições comerciais do Itaú. AutoStop só deve ser selecionado após avaliar o impacto de encerramento de sessão, retomada e acessos simultâneos. [17]</w:t>
      </w:r>
    </w:p>
    <w:p>
      <w:pPr>
        <w:pStyle w:val="Heading2"/>
      </w:pPr>
      <w:r>
        <w:t>Expansão após a POC</w:t>
      </w:r>
    </w:p>
    <w:p>
      <w:r>
        <w:rPr>
          <w:b w:val="0"/>
        </w:rPr>
        <w:t>Versionar a imagem aprovada e o conjunto de ferramentas; registrar o compute por perfil; expandir em grupos controlados; acompanhar satisfação, builds, incidentes e consumo. GeneralPurpose exige ao menos 175 GB no volume raiz e 100 GB no volume do usuário. A AWS limita aumento de compute a uma solicitação em seis horas e redução a uma em 30 dias, o que deve entrar no plano de ajuste. [18]</w:t>
      </w:r>
    </w:p>
    <w:p>
      <w:pPr>
        <w:pStyle w:val="Heading2"/>
      </w:pPr>
      <w:r>
        <w:t>Divergência documental a resolver em migrações</w:t>
      </w:r>
    </w:p>
    <w:p>
      <w:r>
        <w:rPr>
          <w:b w:val="0"/>
        </w:rPr>
        <w:t>O guia de migração menciona desativação de nested virtualization ao usar destino incompatível, enquanto a referência MigrateWorkspace informa falha da migração. O procedimento proposto usa apenas destinos compatíveis; validar com a AWS qualquer exceção antes da mudança. A divergência não altera a conclusão sobre o cenário Windows 11 BYOL elegível. [19, 20]</w:t>
      </w:r>
    </w:p>
    <w:p>
      <w:pPr>
        <w:spacing w:before="80"/>
      </w:pPr>
      <w:r>
        <w:rPr>
          <w:b w:val="0"/>
          <w:sz w:val="18"/>
        </w:rPr>
        <w:t>Decisão proposta: avançar para POC, tendo PowerPro como referência inicial. Adoção ampla condicionada ao aceite da seção 7.</w:t>
      </w:r>
    </w:p>
    <w:p>
      <w:r>
        <w:br w:type="page"/>
      </w:r>
    </w:p>
    <w:p>
      <w:pPr>
        <w:pStyle w:val="Heading1"/>
      </w:pPr>
      <w:r>
        <w:t>9 Referências oficiais</w:t>
      </w:r>
    </w:p>
    <w:p>
      <w:r>
        <w:rPr>
          <w:b w:val="0"/>
          <w:sz w:val="20"/>
        </w:rPr>
        <w:t>Fontes consultadas em 14/10/2026. Os números entre colchetes remetem aos documentos abaixo. A AWS fundamenta a elegibilidade e a operação; Docker complementa os requisitos, o licenciamento e o suporte do aplicativo.</w:t>
      </w:r>
    </w:p>
    <w:p>
      <w:pPr>
        <w:keepNext/>
        <w:spacing w:after="40"/>
      </w:pPr>
      <w:r>
        <w:rPr>
          <w:b/>
          <w:sz w:val="20"/>
        </w:rPr>
        <w:t>[01] AWS | Amazon WorkSpaces now supports Nested Virtualization | 18/08/2026</w:t>
      </w:r>
    </w:p>
    <w:p>
      <w:pPr>
        <w:spacing w:after="240"/>
      </w:pPr>
      <w:r>
        <w:rPr>
          <w:b w:val="0"/>
        </w:rPr>
      </w:r>
      <w:hyperlink r:id="rId10">
        <w:r>
          <w:rPr>
            <w:color w:val="174A78"/>
            <w:sz w:val="18"/>
          </w:rPr>
          <w:t>https://aws.amazon.com/about-aws/whats-new/2026/08/nested-virtualization-workspaces/</w:t>
        </w:r>
      </w:hyperlink>
    </w:p>
    <w:p>
      <w:pPr>
        <w:keepNext/>
        <w:spacing w:after="40"/>
      </w:pPr>
      <w:r>
        <w:rPr>
          <w:b/>
          <w:sz w:val="20"/>
        </w:rPr>
        <w:t>[02] AWS | Nested virtualization for WorkSpaces Personal</w:t>
      </w:r>
    </w:p>
    <w:p>
      <w:pPr>
        <w:spacing w:after="240"/>
      </w:pPr>
      <w:r>
        <w:rPr>
          <w:b w:val="0"/>
        </w:rPr>
      </w:r>
      <w:hyperlink r:id="rId11">
        <w:r>
          <w:rPr>
            <w:color w:val="174A78"/>
            <w:sz w:val="18"/>
          </w:rPr>
          <w:t>https://docs.aws.amazon.com/workspaces/latest/adminguide/nested-virtualization.html</w:t>
        </w:r>
      </w:hyperlink>
    </w:p>
    <w:p>
      <w:pPr>
        <w:keepNext/>
        <w:spacing w:after="40"/>
      </w:pPr>
      <w:r>
        <w:rPr>
          <w:b/>
          <w:sz w:val="20"/>
        </w:rPr>
        <w:t>[03] AWS | Bring Your Own Windows desktop licenses in WorkSpaces</w:t>
      </w:r>
    </w:p>
    <w:p>
      <w:pPr>
        <w:spacing w:after="240"/>
      </w:pPr>
      <w:r>
        <w:rPr>
          <w:b w:val="0"/>
        </w:rPr>
      </w:r>
      <w:hyperlink r:id="rId12">
        <w:r>
          <w:rPr>
            <w:color w:val="174A78"/>
            <w:sz w:val="18"/>
          </w:rPr>
          <w:t>https://docs.aws.amazon.com/workspaces/latest/adminguide/byol-windows-images.html</w:t>
        </w:r>
      </w:hyperlink>
    </w:p>
    <w:p>
      <w:pPr>
        <w:keepNext/>
        <w:spacing w:after="40"/>
      </w:pPr>
      <w:r>
        <w:rPr>
          <w:b/>
          <w:sz w:val="20"/>
        </w:rPr>
        <w:t>[04] AWS | Bundles and images for WorkSpaces Personal</w:t>
      </w:r>
    </w:p>
    <w:p>
      <w:pPr>
        <w:spacing w:after="240"/>
      </w:pPr>
      <w:r>
        <w:rPr>
          <w:b w:val="0"/>
        </w:rPr>
      </w:r>
      <w:hyperlink r:id="rId13">
        <w:r>
          <w:rPr>
            <w:color w:val="174A78"/>
            <w:sz w:val="18"/>
          </w:rPr>
          <w:t>https://docs.aws.amazon.com/workspaces/latest/adminguide/amazon-workspaces-bundles.html</w:t>
        </w:r>
      </w:hyperlink>
    </w:p>
    <w:p>
      <w:pPr>
        <w:keepNext/>
        <w:spacing w:after="40"/>
      </w:pPr>
      <w:r>
        <w:rPr>
          <w:b/>
          <w:sz w:val="20"/>
        </w:rPr>
        <w:t>[05] AWS | Bundle options for WorkSpaces Personal</w:t>
      </w:r>
    </w:p>
    <w:p>
      <w:pPr>
        <w:spacing w:after="240"/>
      </w:pPr>
      <w:r>
        <w:rPr>
          <w:b w:val="0"/>
        </w:rPr>
      </w:r>
      <w:hyperlink r:id="rId14">
        <w:r>
          <w:rPr>
            <w:color w:val="174A78"/>
            <w:sz w:val="18"/>
          </w:rPr>
          <w:t>https://docs.aws.amazon.com/workspaces/latest/adminguide/bundle-options.html</w:t>
        </w:r>
      </w:hyperlink>
    </w:p>
    <w:p>
      <w:pPr>
        <w:keepNext/>
        <w:spacing w:after="40"/>
      </w:pPr>
      <w:r>
        <w:rPr>
          <w:b/>
          <w:sz w:val="20"/>
        </w:rPr>
        <w:t>[06] AWS | Credential Guard and Virtualization Based Security</w:t>
      </w:r>
    </w:p>
    <w:p>
      <w:pPr>
        <w:spacing w:after="240"/>
      </w:pPr>
      <w:r>
        <w:rPr>
          <w:b w:val="0"/>
        </w:rPr>
      </w:r>
      <w:hyperlink r:id="rId15">
        <w:r>
          <w:rPr>
            <w:color w:val="174A78"/>
            <w:sz w:val="18"/>
          </w:rPr>
          <w:t>https://docs.aws.amazon.com/workspaces/latest/adminguide/credential-guard-vbs.html</w:t>
        </w:r>
      </w:hyperlink>
    </w:p>
    <w:p>
      <w:pPr>
        <w:keepNext/>
        <w:spacing w:after="40"/>
      </w:pPr>
      <w:r>
        <w:rPr>
          <w:b/>
          <w:sz w:val="20"/>
        </w:rPr>
        <w:t>[07] Docker | Install Docker Desktop on Windows</w:t>
      </w:r>
    </w:p>
    <w:p>
      <w:pPr>
        <w:spacing w:after="240"/>
      </w:pPr>
      <w:r>
        <w:rPr>
          <w:b w:val="0"/>
        </w:rPr>
      </w:r>
      <w:hyperlink r:id="rId16">
        <w:r>
          <w:rPr>
            <w:color w:val="174A78"/>
            <w:sz w:val="18"/>
          </w:rPr>
          <w:t>https://docs.docker.com/desktop/setup/install/windows-install/</w:t>
        </w:r>
      </w:hyperlink>
    </w:p>
    <w:p>
      <w:pPr>
        <w:keepNext/>
        <w:spacing w:after="40"/>
      </w:pPr>
      <w:r>
        <w:rPr>
          <w:b/>
          <w:sz w:val="20"/>
        </w:rPr>
        <w:t>[08] Docker | Run Docker Desktop for Windows in a VM or VDI environment</w:t>
      </w:r>
    </w:p>
    <w:p>
      <w:pPr>
        <w:spacing w:after="240"/>
      </w:pPr>
      <w:r>
        <w:rPr>
          <w:b w:val="0"/>
        </w:rPr>
      </w:r>
      <w:hyperlink r:id="rId17">
        <w:r>
          <w:rPr>
            <w:color w:val="174A78"/>
            <w:sz w:val="18"/>
          </w:rPr>
          <w:t>https://docs.docker.com/desktop/setup/vm-vdi/</w:t>
        </w:r>
      </w:hyperlink>
    </w:p>
    <w:p>
      <w:pPr>
        <w:keepNext/>
        <w:spacing w:after="40"/>
      </w:pPr>
      <w:r>
        <w:rPr>
          <w:b/>
          <w:sz w:val="20"/>
        </w:rPr>
        <w:t>[09] AWS | Desktop as a Service Pricing e matriz de workloads</w:t>
      </w:r>
    </w:p>
    <w:p>
      <w:pPr>
        <w:spacing w:after="240"/>
      </w:pPr>
      <w:r>
        <w:rPr>
          <w:b w:val="0"/>
        </w:rPr>
      </w:r>
      <w:hyperlink r:id="rId18">
        <w:r>
          <w:rPr>
            <w:color w:val="174A78"/>
            <w:sz w:val="18"/>
          </w:rPr>
          <w:t>https://aws.amazon.com/workspaces/desktop-as-a-service/pricing/</w:t>
        </w:r>
      </w:hyperlink>
    </w:p>
    <w:p>
      <w:pPr>
        <w:keepNext/>
        <w:spacing w:after="40"/>
      </w:pPr>
      <w:r>
        <w:rPr>
          <w:b/>
          <w:sz w:val="20"/>
        </w:rPr>
        <w:t>[10] AWS | Working with Nested Virtualization on Amazon WorkSpaces | 20/08/2026</w:t>
      </w:r>
    </w:p>
    <w:p>
      <w:pPr>
        <w:spacing w:after="240"/>
      </w:pPr>
      <w:r>
        <w:rPr>
          <w:b w:val="0"/>
        </w:rPr>
      </w:r>
      <w:hyperlink r:id="rId19">
        <w:r>
          <w:rPr>
            <w:color w:val="174A78"/>
            <w:sz w:val="18"/>
          </w:rPr>
          <w:t>https://aws.amazon.com/blogs/desktop-and-application-streaming/working-with-nested-virtualization-on-amazon-workspaces/</w:t>
        </w:r>
      </w:hyperlink>
    </w:p>
    <w:p>
      <w:r>
        <w:br w:type="page"/>
      </w:r>
    </w:p>
    <w:p>
      <w:pPr>
        <w:pStyle w:val="Heading1"/>
      </w:pPr>
      <w:r>
        <w:t>Referências oficiais continuação</w:t>
      </w:r>
    </w:p>
    <w:p>
      <w:pPr>
        <w:keepNext/>
        <w:spacing w:after="40"/>
      </w:pPr>
      <w:r>
        <w:rPr>
          <w:b/>
          <w:sz w:val="20"/>
        </w:rPr>
        <w:t>[11] AWS | Accelerate Cloud Development with Docker Desktop on Amazon WorkSpaces | 20/08/2026</w:t>
      </w:r>
    </w:p>
    <w:p>
      <w:pPr>
        <w:spacing w:after="240"/>
      </w:pPr>
      <w:r>
        <w:rPr>
          <w:b w:val="0"/>
        </w:rPr>
      </w:r>
      <w:hyperlink r:id="rId20">
        <w:r>
          <w:rPr>
            <w:color w:val="174A78"/>
            <w:sz w:val="18"/>
          </w:rPr>
          <w:t>https://aws.amazon.com/blogs/desktop-and-application-streaming/accelerate-cloud-development-with-docker-desktop-on-amazon-workspaces/</w:t>
        </w:r>
      </w:hyperlink>
    </w:p>
    <w:p>
      <w:pPr>
        <w:keepNext/>
        <w:spacing w:after="40"/>
      </w:pPr>
      <w:r>
        <w:rPr>
          <w:b/>
          <w:sz w:val="20"/>
        </w:rPr>
        <w:t>[12] AWS | Troubleshoot issues for WorkSpaces Personal</w:t>
      </w:r>
    </w:p>
    <w:p>
      <w:pPr>
        <w:spacing w:after="240"/>
      </w:pPr>
      <w:r>
        <w:rPr>
          <w:b w:val="0"/>
        </w:rPr>
      </w:r>
      <w:hyperlink r:id="rId21">
        <w:r>
          <w:rPr>
            <w:color w:val="174A78"/>
            <w:sz w:val="18"/>
          </w:rPr>
          <w:t>https://docs.aws.amazon.com/workspaces/latest/adminguide/amazon-workspaces-troubleshooting.html</w:t>
        </w:r>
      </w:hyperlink>
    </w:p>
    <w:p>
      <w:pPr>
        <w:keepNext/>
        <w:spacing w:after="40"/>
      </w:pPr>
      <w:r>
        <w:rPr>
          <w:b/>
          <w:sz w:val="20"/>
        </w:rPr>
        <w:t>[13] AWS | Amazon WorkSpaces endpoints and quotas</w:t>
      </w:r>
    </w:p>
    <w:p>
      <w:pPr>
        <w:spacing w:after="240"/>
      </w:pPr>
      <w:r>
        <w:rPr>
          <w:b w:val="0"/>
        </w:rPr>
      </w:r>
      <w:hyperlink r:id="rId22">
        <w:r>
          <w:rPr>
            <w:color w:val="174A78"/>
            <w:sz w:val="18"/>
          </w:rPr>
          <w:t>https://docs.aws.amazon.com/general/latest/gr/wsp.html</w:t>
        </w:r>
      </w:hyperlink>
    </w:p>
    <w:p>
      <w:pPr>
        <w:keepNext/>
        <w:spacing w:after="40"/>
      </w:pPr>
      <w:r>
        <w:rPr>
          <w:b/>
          <w:sz w:val="20"/>
        </w:rPr>
        <w:t>[14] AWS | Announcing larger General Purpose bundles for WorkSpaces Personal and Core | 15/01/2025</w:t>
      </w:r>
    </w:p>
    <w:p>
      <w:pPr>
        <w:spacing w:after="240"/>
      </w:pPr>
      <w:r>
        <w:rPr>
          <w:b w:val="0"/>
        </w:rPr>
      </w:r>
      <w:hyperlink r:id="rId23">
        <w:r>
          <w:rPr>
            <w:color w:val="174A78"/>
            <w:sz w:val="18"/>
          </w:rPr>
          <w:t>https://aws.amazon.com/about-aws/whats-new/2025/01/larger-general-purpose-bundles-workspaces-personal-core/</w:t>
        </w:r>
      </w:hyperlink>
    </w:p>
    <w:p>
      <w:pPr>
        <w:keepNext/>
        <w:spacing w:after="40"/>
      </w:pPr>
      <w:r>
        <w:rPr>
          <w:b/>
          <w:sz w:val="20"/>
        </w:rPr>
        <w:t>[15] AWS | Amazon WorkSpaces launches new Graphics G4dn bundles | 04/2022</w:t>
      </w:r>
    </w:p>
    <w:p>
      <w:pPr>
        <w:spacing w:after="240"/>
      </w:pPr>
      <w:r>
        <w:rPr>
          <w:b w:val="0"/>
        </w:rPr>
      </w:r>
      <w:hyperlink r:id="rId24">
        <w:r>
          <w:rPr>
            <w:color w:val="174A78"/>
            <w:sz w:val="18"/>
          </w:rPr>
          <w:t>https://aws.amazon.com/about-aws/whats-new/2022/04/amazon-workspaces-graphics-g4dn-bundles/</w:t>
        </w:r>
      </w:hyperlink>
    </w:p>
    <w:p>
      <w:pPr>
        <w:keepNext/>
        <w:spacing w:after="40"/>
      </w:pPr>
      <w:r>
        <w:rPr>
          <w:b/>
          <w:sz w:val="20"/>
        </w:rPr>
        <w:t>[16] AWS | Amazon WorkSpaces launches Graphics G6 Gr6 and G6f bundles | 05/02/2026</w:t>
      </w:r>
    </w:p>
    <w:p>
      <w:pPr>
        <w:spacing w:after="240"/>
      </w:pPr>
      <w:r>
        <w:rPr>
          <w:b w:val="0"/>
        </w:rPr>
      </w:r>
      <w:hyperlink r:id="rId25">
        <w:r>
          <w:rPr>
            <w:color w:val="174A78"/>
            <w:sz w:val="18"/>
          </w:rPr>
          <w:t>https://aws.amazon.com/about-aws/whats-new/2026/02/amazon-workspaces-personal-core-graphics-g6-gr6-g6f-bundles/</w:t>
        </w:r>
      </w:hyperlink>
    </w:p>
    <w:p>
      <w:pPr>
        <w:keepNext/>
        <w:spacing w:after="40"/>
      </w:pPr>
      <w:r>
        <w:rPr>
          <w:b/>
          <w:sz w:val="20"/>
        </w:rPr>
        <w:t>[17] AWS | Manage the running mode in WorkSpaces Personal</w:t>
      </w:r>
    </w:p>
    <w:p>
      <w:pPr>
        <w:spacing w:after="240"/>
      </w:pPr>
      <w:r>
        <w:rPr>
          <w:b w:val="0"/>
        </w:rPr>
      </w:r>
      <w:hyperlink r:id="rId26">
        <w:r>
          <w:rPr>
            <w:color w:val="174A78"/>
            <w:sz w:val="18"/>
          </w:rPr>
          <w:t>https://docs.aws.amazon.com/workspaces/latest/adminguide/running-mode.html</w:t>
        </w:r>
      </w:hyperlink>
    </w:p>
    <w:p>
      <w:pPr>
        <w:keepNext/>
        <w:spacing w:after="40"/>
      </w:pPr>
      <w:r>
        <w:rPr>
          <w:b/>
          <w:sz w:val="20"/>
        </w:rPr>
        <w:t>[18] AWS | Modify a WorkSpace in WorkSpaces Personal</w:t>
      </w:r>
    </w:p>
    <w:p>
      <w:pPr>
        <w:spacing w:after="240"/>
      </w:pPr>
      <w:r>
        <w:rPr>
          <w:b w:val="0"/>
        </w:rPr>
      </w:r>
      <w:hyperlink r:id="rId27">
        <w:r>
          <w:rPr>
            <w:color w:val="174A78"/>
            <w:sz w:val="18"/>
          </w:rPr>
          <w:t>https://docs.aws.amazon.com/workspaces/latest/adminguide/modify-workspaces.html</w:t>
        </w:r>
      </w:hyperlink>
    </w:p>
    <w:p>
      <w:pPr>
        <w:keepNext/>
        <w:spacing w:after="40"/>
      </w:pPr>
      <w:r>
        <w:rPr>
          <w:b/>
          <w:sz w:val="20"/>
        </w:rPr>
        <w:t>[19] AWS | Migrate a WorkSpace in WorkSpaces Personal</w:t>
      </w:r>
    </w:p>
    <w:p>
      <w:pPr>
        <w:spacing w:after="240"/>
      </w:pPr>
      <w:r>
        <w:rPr>
          <w:b w:val="0"/>
        </w:rPr>
      </w:r>
      <w:hyperlink r:id="rId28">
        <w:r>
          <w:rPr>
            <w:color w:val="174A78"/>
            <w:sz w:val="18"/>
          </w:rPr>
          <w:t>https://docs.aws.amazon.com/workspaces/latest/adminguide/migrate-workspaces.html</w:t>
        </w:r>
      </w:hyperlink>
    </w:p>
    <w:p>
      <w:pPr>
        <w:keepNext/>
        <w:spacing w:after="40"/>
      </w:pPr>
      <w:r>
        <w:rPr>
          <w:b/>
          <w:sz w:val="20"/>
        </w:rPr>
        <w:t>[20] AWS | MigrateWorkspace API Reference</w:t>
      </w:r>
    </w:p>
    <w:p>
      <w:pPr>
        <w:spacing w:after="240"/>
      </w:pPr>
      <w:r>
        <w:rPr>
          <w:b w:val="0"/>
        </w:rPr>
      </w:r>
      <w:hyperlink r:id="rId29">
        <w:r>
          <w:rPr>
            <w:color w:val="174A78"/>
            <w:sz w:val="18"/>
          </w:rPr>
          <w:t>https://docs.aws.amazon.com/workspaces/latest/api/API_MigrateWorkspace.html</w:t>
        </w:r>
      </w:hyperlink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Itaú  |  Avaliação técnica  |  14 out 2026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ws.amazon.com/about-aws/whats-new/2026/08/nested-virtualization-workspaces/" TargetMode="External"/><Relationship Id="rId11" Type="http://schemas.openxmlformats.org/officeDocument/2006/relationships/hyperlink" Target="https://docs.aws.amazon.com/workspaces/latest/adminguide/nested-virtualization.html" TargetMode="External"/><Relationship Id="rId12" Type="http://schemas.openxmlformats.org/officeDocument/2006/relationships/hyperlink" Target="https://docs.aws.amazon.com/workspaces/latest/adminguide/byol-windows-images.html" TargetMode="External"/><Relationship Id="rId13" Type="http://schemas.openxmlformats.org/officeDocument/2006/relationships/hyperlink" Target="https://docs.aws.amazon.com/workspaces/latest/adminguide/amazon-workspaces-bundles.html" TargetMode="External"/><Relationship Id="rId14" Type="http://schemas.openxmlformats.org/officeDocument/2006/relationships/hyperlink" Target="https://docs.aws.amazon.com/workspaces/latest/adminguide/bundle-options.html" TargetMode="External"/><Relationship Id="rId15" Type="http://schemas.openxmlformats.org/officeDocument/2006/relationships/hyperlink" Target="https://docs.aws.amazon.com/workspaces/latest/adminguide/credential-guard-vbs.html" TargetMode="External"/><Relationship Id="rId16" Type="http://schemas.openxmlformats.org/officeDocument/2006/relationships/hyperlink" Target="https://docs.docker.com/desktop/setup/install/windows-install/" TargetMode="External"/><Relationship Id="rId17" Type="http://schemas.openxmlformats.org/officeDocument/2006/relationships/hyperlink" Target="https://docs.docker.com/desktop/setup/vm-vdi/" TargetMode="External"/><Relationship Id="rId18" Type="http://schemas.openxmlformats.org/officeDocument/2006/relationships/hyperlink" Target="https://aws.amazon.com/workspaces/desktop-as-a-service/pricing/" TargetMode="External"/><Relationship Id="rId19" Type="http://schemas.openxmlformats.org/officeDocument/2006/relationships/hyperlink" Target="https://aws.amazon.com/blogs/desktop-and-application-streaming/working-with-nested-virtualization-on-amazon-workspaces/" TargetMode="External"/><Relationship Id="rId20" Type="http://schemas.openxmlformats.org/officeDocument/2006/relationships/hyperlink" Target="https://aws.amazon.com/blogs/desktop-and-application-streaming/accelerate-cloud-development-with-docker-desktop-on-amazon-workspaces/" TargetMode="External"/><Relationship Id="rId21" Type="http://schemas.openxmlformats.org/officeDocument/2006/relationships/hyperlink" Target="https://docs.aws.amazon.com/workspaces/latest/adminguide/amazon-workspaces-troubleshooting.html" TargetMode="External"/><Relationship Id="rId22" Type="http://schemas.openxmlformats.org/officeDocument/2006/relationships/hyperlink" Target="https://docs.aws.amazon.com/general/latest/gr/wsp.html" TargetMode="External"/><Relationship Id="rId23" Type="http://schemas.openxmlformats.org/officeDocument/2006/relationships/hyperlink" Target="https://aws.amazon.com/about-aws/whats-new/2025/01/larger-general-purpose-bundles-workspaces-personal-core/" TargetMode="External"/><Relationship Id="rId24" Type="http://schemas.openxmlformats.org/officeDocument/2006/relationships/hyperlink" Target="https://aws.amazon.com/about-aws/whats-new/2022/04/amazon-workspaces-graphics-g4dn-bundles/" TargetMode="External"/><Relationship Id="rId25" Type="http://schemas.openxmlformats.org/officeDocument/2006/relationships/hyperlink" Target="https://aws.amazon.com/about-aws/whats-new/2026/02/amazon-workspaces-personal-core-graphics-g6-gr6-g6f-bundles/" TargetMode="External"/><Relationship Id="rId26" Type="http://schemas.openxmlformats.org/officeDocument/2006/relationships/hyperlink" Target="https://docs.aws.amazon.com/workspaces/latest/adminguide/running-mode.html" TargetMode="External"/><Relationship Id="rId27" Type="http://schemas.openxmlformats.org/officeDocument/2006/relationships/hyperlink" Target="https://docs.aws.amazon.com/workspaces/latest/adminguide/modify-workspaces.html" TargetMode="External"/><Relationship Id="rId28" Type="http://schemas.openxmlformats.org/officeDocument/2006/relationships/hyperlink" Target="https://docs.aws.amazon.com/workspaces/latest/adminguide/migrate-workspaces.html" TargetMode="External"/><Relationship Id="rId29" Type="http://schemas.openxmlformats.org/officeDocument/2006/relationships/hyperlink" Target="https://docs.aws.amazon.com/workspaces/latest/api/API_MigrateWorkspac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WorkSpaces para desenvolvedores do Itaú</dc:title>
  <dc:subject>Windows 11 Enterprise BYOL, Docker Desktop, WSL2 e compute types</dc:subject>
  <dc:creator/>
  <cp:keywords>WorkSpaces, Itaú, BYOL, Docker, WSL2, compute types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