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Standard Indefinite Apartment Lease</w:t>
      </w:r>
    </w:p>
    <w:p>
      <w:pPr>
        <w:jc w:val="center"/>
      </w:pPr>
      <w:r>
        <w:rPr>
          <w:b/>
          <w:sz w:val="18"/>
        </w:rPr>
        <w:t>Document DE-RA-001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Berlin,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62.5 m²; 2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October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dwelling includes a cellar compartment identified in the handover record.</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October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1,180.00</w:t>
            </w:r>
          </w:p>
        </w:tc>
      </w:tr>
      <w:tr>
        <w:tc>
          <w:tcPr>
            <w:tcW w:type="dxa" w:w="4939"/>
          </w:tcPr>
          <w:p>
            <w:r>
              <w:t>Operating-cost advance</w:t>
            </w:r>
          </w:p>
        </w:tc>
        <w:tc>
          <w:tcPr>
            <w:tcW w:type="dxa" w:w="4939"/>
          </w:tcPr>
          <w:p>
            <w:r>
              <w:t>EUR 220.00</w:t>
            </w:r>
          </w:p>
        </w:tc>
      </w:tr>
      <w:tr>
        <w:tc>
          <w:tcPr>
            <w:tcW w:type="dxa" w:w="4939"/>
          </w:tcPr>
          <w:p>
            <w:r>
              <w:t>Heating and hot-water advance</w:t>
            </w:r>
          </w:p>
        </w:tc>
        <w:tc>
          <w:tcPr>
            <w:tcW w:type="dxa" w:w="4939"/>
          </w:tcPr>
          <w:p>
            <w:r>
              <w:t>EUR 110.00</w:t>
            </w:r>
          </w:p>
        </w:tc>
      </w:tr>
      <w:tr>
        <w:tc>
          <w:tcPr>
            <w:tcW w:type="dxa" w:w="4939"/>
          </w:tcPr>
          <w:p>
            <w:r>
              <w:t>Total monthly payment</w:t>
            </w:r>
          </w:p>
        </w:tc>
        <w:tc>
          <w:tcPr>
            <w:tcW w:type="dxa" w:w="4939"/>
          </w:tcPr>
          <w:p>
            <w:r>
              <w:t>EUR 1,510.00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3,540.00,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DE-RA-001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