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Furnished Apartment Lease</w:t>
      </w:r>
    </w:p>
    <w:p>
      <w:pPr>
        <w:jc w:val="center"/>
      </w:pPr>
      <w:r>
        <w:rPr>
          <w:b/>
          <w:sz w:val="18"/>
        </w:rPr>
        <w:t>Document DE-RA-003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Munich, Germany</w:t>
            </w:r>
          </w:p>
        </w:tc>
      </w:tr>
      <w:tr>
        <w:tc>
          <w:tcPr>
            <w:tcW w:type="dxa" w:w="2880"/>
            <w:vAlign w:val="center"/>
            <w:shd w:fill="E8EDF3"/>
          </w:tcPr>
          <w:p>
            <w:r>
              <w:rPr>
                <w:b/>
              </w:rPr>
              <w:t>Property type</w:t>
            </w:r>
          </w:p>
        </w:tc>
        <w:tc>
          <w:tcPr>
            <w:tcW w:type="dxa" w:w="6624"/>
            <w:vAlign w:val="center"/>
          </w:tcPr>
          <w:p>
            <w:r>
              <w:t>furnished apartment</w:t>
            </w:r>
          </w:p>
        </w:tc>
      </w:tr>
      <w:tr>
        <w:tc>
          <w:tcPr>
            <w:tcW w:type="dxa" w:w="2880"/>
            <w:vAlign w:val="center"/>
            <w:shd w:fill="E8EDF3"/>
          </w:tcPr>
          <w:p>
            <w:r>
              <w:rPr>
                <w:b/>
              </w:rPr>
              <w:t>Approximate area and rooms</w:t>
            </w:r>
          </w:p>
        </w:tc>
        <w:tc>
          <w:tcPr>
            <w:tcW w:type="dxa" w:w="6624"/>
            <w:vAlign w:val="center"/>
          </w:tcPr>
          <w:p>
            <w:r>
              <w:t>44.0 m²; 1.5 room(s)</w:t>
            </w:r>
          </w:p>
        </w:tc>
      </w:tr>
      <w:tr>
        <w:tc>
          <w:tcPr>
            <w:tcW w:type="dxa" w:w="2880"/>
            <w:vAlign w:val="center"/>
            <w:shd w:fill="E8EDF3"/>
          </w:tcPr>
          <w:p>
            <w:r>
              <w:rPr>
                <w:b/>
              </w:rPr>
              <w:t>Authorized occupancy</w:t>
            </w:r>
          </w:p>
        </w:tc>
        <w:tc>
          <w:tcPr>
            <w:tcW w:type="dxa" w:w="6624"/>
            <w:vAlign w:val="center"/>
          </w:tcPr>
          <w:p>
            <w:r>
              <w:t>one adult</w:t>
            </w:r>
          </w:p>
        </w:tc>
      </w:tr>
      <w:tr>
        <w:tc>
          <w:tcPr>
            <w:tcW w:type="dxa" w:w="2880"/>
            <w:vAlign w:val="center"/>
            <w:shd w:fill="E8EDF3"/>
          </w:tcPr>
          <w:p>
            <w:r>
              <w:rPr>
                <w:b/>
              </w:rPr>
              <w:t>Commencement and duration</w:t>
            </w:r>
          </w:p>
        </w:tc>
        <w:tc>
          <w:tcPr>
            <w:tcW w:type="dxa" w:w="6624"/>
            <w:vAlign w:val="center"/>
          </w:tcPr>
          <w:p>
            <w:r>
              <w:t>15 October 2026;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Furniture is provided under the signed inventory; the stated net cold rent includes the agreed furnishing component.</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15 October 2026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1,450.00</w:t>
            </w:r>
          </w:p>
        </w:tc>
      </w:tr>
      <w:tr>
        <w:tc>
          <w:tcPr>
            <w:tcW w:type="dxa" w:w="4939"/>
          </w:tcPr>
          <w:p>
            <w:r>
              <w:t>Operating-cost advance</w:t>
            </w:r>
          </w:p>
        </w:tc>
        <w:tc>
          <w:tcPr>
            <w:tcW w:type="dxa" w:w="4939"/>
          </w:tcPr>
          <w:p>
            <w:r>
              <w:t>EUR 190.00</w:t>
            </w:r>
          </w:p>
        </w:tc>
      </w:tr>
      <w:tr>
        <w:tc>
          <w:tcPr>
            <w:tcW w:type="dxa" w:w="4939"/>
          </w:tcPr>
          <w:p>
            <w:r>
              <w:t>Heating and hot-water advance</w:t>
            </w:r>
          </w:p>
        </w:tc>
        <w:tc>
          <w:tcPr>
            <w:tcW w:type="dxa" w:w="4939"/>
          </w:tcPr>
          <w:p>
            <w:r>
              <w:t>EUR 95.00</w:t>
            </w:r>
          </w:p>
        </w:tc>
      </w:tr>
      <w:tr>
        <w:tc>
          <w:tcPr>
            <w:tcW w:type="dxa" w:w="4939"/>
          </w:tcPr>
          <w:p>
            <w:r>
              <w:t>Total monthly payment</w:t>
            </w:r>
          </w:p>
        </w:tc>
        <w:tc>
          <w:tcPr>
            <w:tcW w:type="dxa" w:w="4939"/>
          </w:tcPr>
          <w:p>
            <w:r>
              <w:t>EUR 1,735.00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4,350.00,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DE-RA-003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