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Fixed Term Lease for Landlord Own Use</w:t>
      </w:r>
    </w:p>
    <w:p>
      <w:pPr>
        <w:jc w:val="center"/>
      </w:pPr>
      <w:r>
        <w:rPr>
          <w:b/>
          <w:sz w:val="18"/>
        </w:rPr>
        <w:t>Document DE-RA-004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Frankfurt am Main,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71.0 m²; 3 room(s)</w:t>
            </w:r>
          </w:p>
        </w:tc>
      </w:tr>
      <w:tr>
        <w:tc>
          <w:tcPr>
            <w:tcW w:type="dxa" w:w="2880"/>
            <w:vAlign w:val="center"/>
            <w:shd w:fill="E8EDF3"/>
          </w:tcPr>
          <w:p>
            <w:r>
              <w:rPr>
                <w:b/>
              </w:rPr>
              <w:t>Authorized occupancy</w:t>
            </w:r>
          </w:p>
        </w:tc>
        <w:tc>
          <w:tcPr>
            <w:tcW w:type="dxa" w:w="6624"/>
            <w:vAlign w:val="center"/>
          </w:tcPr>
          <w:p>
            <w:r>
              <w:t>two adults</w:t>
            </w:r>
          </w:p>
        </w:tc>
      </w:tr>
      <w:tr>
        <w:tc>
          <w:tcPr>
            <w:tcW w:type="dxa" w:w="2880"/>
            <w:vAlign w:val="center"/>
            <w:shd w:fill="E8EDF3"/>
          </w:tcPr>
          <w:p>
            <w:r>
              <w:rPr>
                <w:b/>
              </w:rPr>
              <w:t>Commencement and duration</w:t>
            </w:r>
          </w:p>
        </w:tc>
        <w:tc>
          <w:tcPr>
            <w:tcW w:type="dxa" w:w="6624"/>
            <w:vAlign w:val="center"/>
          </w:tcPr>
          <w:p>
            <w:r>
              <w:t>1 January 2027; fixed until 31 December 2028</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Fixed-term reason: after 31 December 2028, the landlord intends to use the dwelling as the principal residence of the landlord’s adult child. This reason is communicated in writing at contract formation under section 575 BGB.</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January 2027 and is fixed until 31 December 2028. Possession, keys and meter readings will be documented in a handover record signed by both parties.</w:t>
      </w:r>
    </w:p>
    <w:p>
      <w:pPr>
        <w:pStyle w:val="BodyText"/>
        <w:keepLines w:val="0"/>
      </w:pPr>
      <w:r>
        <w:t>Fixed-term reason: after 31 December 2028, the landlord intends to use the dwelling as the principal residence of the landlord’s adult child. This reason is communicated in writing at contract formation under section 575 BGB.</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1,320.00</w:t>
            </w:r>
          </w:p>
        </w:tc>
      </w:tr>
      <w:tr>
        <w:tc>
          <w:tcPr>
            <w:tcW w:type="dxa" w:w="4939"/>
          </w:tcPr>
          <w:p>
            <w:r>
              <w:t>Operating-cost advance</w:t>
            </w:r>
          </w:p>
        </w:tc>
        <w:tc>
          <w:tcPr>
            <w:tcW w:type="dxa" w:w="4939"/>
          </w:tcPr>
          <w:p>
            <w:r>
              <w:t>EUR 245.00</w:t>
            </w:r>
          </w:p>
        </w:tc>
      </w:tr>
      <w:tr>
        <w:tc>
          <w:tcPr>
            <w:tcW w:type="dxa" w:w="4939"/>
          </w:tcPr>
          <w:p>
            <w:r>
              <w:t>Heating and hot-water advance</w:t>
            </w:r>
          </w:p>
        </w:tc>
        <w:tc>
          <w:tcPr>
            <w:tcW w:type="dxa" w:w="4939"/>
          </w:tcPr>
          <w:p>
            <w:r>
              <w:t>EUR 130.00</w:t>
            </w:r>
          </w:p>
        </w:tc>
      </w:tr>
      <w:tr>
        <w:tc>
          <w:tcPr>
            <w:tcW w:type="dxa" w:w="4939"/>
          </w:tcPr>
          <w:p>
            <w:r>
              <w:t>Total monthly payment</w:t>
            </w:r>
          </w:p>
        </w:tc>
        <w:tc>
          <w:tcPr>
            <w:tcW w:type="dxa" w:w="4939"/>
          </w:tcPr>
          <w:p>
            <w:r>
              <w:t>EUR 1,695.00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3,960.00,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DE-RA-004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