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Fixed Term Lease for Major Reconstruction</w:t>
      </w:r>
    </w:p>
    <w:p>
      <w:pPr>
        <w:jc w:val="center"/>
      </w:pPr>
      <w:r>
        <w:rPr>
          <w:b/>
          <w:sz w:val="18"/>
        </w:rPr>
        <w:t>Document DE-RA-005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Cologne, Germany</w:t>
            </w:r>
          </w:p>
        </w:tc>
      </w:tr>
      <w:tr>
        <w:tc>
          <w:tcPr>
            <w:tcW w:type="dxa" w:w="2880"/>
            <w:vAlign w:val="center"/>
            <w:shd w:fill="E8EDF3"/>
          </w:tcPr>
          <w:p>
            <w:r>
              <w:rPr>
                <w:b/>
              </w:rPr>
              <w:t>Property type</w:t>
            </w:r>
          </w:p>
        </w:tc>
        <w:tc>
          <w:tcPr>
            <w:tcW w:type="dxa" w:w="6624"/>
            <w:vAlign w:val="center"/>
          </w:tcPr>
          <w:p>
            <w:r>
              <w:t>unfurnished apartment</w:t>
            </w:r>
          </w:p>
        </w:tc>
      </w:tr>
      <w:tr>
        <w:tc>
          <w:tcPr>
            <w:tcW w:type="dxa" w:w="2880"/>
            <w:vAlign w:val="center"/>
            <w:shd w:fill="E8EDF3"/>
          </w:tcPr>
          <w:p>
            <w:r>
              <w:rPr>
                <w:b/>
              </w:rPr>
              <w:t>Approximate area and rooms</w:t>
            </w:r>
          </w:p>
        </w:tc>
        <w:tc>
          <w:tcPr>
            <w:tcW w:type="dxa" w:w="6624"/>
            <w:vAlign w:val="center"/>
          </w:tcPr>
          <w:p>
            <w:r>
              <w:t>58.0 m²; 2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 December 2026; fixed until 30 November 2028</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Fixed-term reason: after expiry, the building is scheduled for structural conversion requiring the dwelling to be vacant; continued occupancy would materially impede the works. The landlord must substantiate the continuing reason when required under section 575 BGB.</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December 2026 and is fixed until 30 November 2028. Possession, keys and meter readings will be documented in a handover record signed by both parties.</w:t>
      </w:r>
    </w:p>
    <w:p>
      <w:pPr>
        <w:pStyle w:val="BodyText"/>
        <w:keepLines w:val="0"/>
      </w:pPr>
      <w:r>
        <w:t>Fixed-term reason: after expiry, the building is scheduled for structural conversion requiring the dwelling to be vacant; continued occupancy would materially impede the works. The landlord must substantiate the continuing reason when required under section 575 BGB.</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990.00</w:t>
            </w:r>
          </w:p>
        </w:tc>
      </w:tr>
      <w:tr>
        <w:tc>
          <w:tcPr>
            <w:tcW w:type="dxa" w:w="4939"/>
          </w:tcPr>
          <w:p>
            <w:r>
              <w:t>Operating-cost advance</w:t>
            </w:r>
          </w:p>
        </w:tc>
        <w:tc>
          <w:tcPr>
            <w:tcW w:type="dxa" w:w="4939"/>
          </w:tcPr>
          <w:p>
            <w:r>
              <w:t>EUR 215.00</w:t>
            </w:r>
          </w:p>
        </w:tc>
      </w:tr>
      <w:tr>
        <w:tc>
          <w:tcPr>
            <w:tcW w:type="dxa" w:w="4939"/>
          </w:tcPr>
          <w:p>
            <w:r>
              <w:t>Heating and hot-water advance</w:t>
            </w:r>
          </w:p>
        </w:tc>
        <w:tc>
          <w:tcPr>
            <w:tcW w:type="dxa" w:w="4939"/>
          </w:tcPr>
          <w:p>
            <w:r>
              <w:t>EUR 105.00</w:t>
            </w:r>
          </w:p>
        </w:tc>
      </w:tr>
      <w:tr>
        <w:tc>
          <w:tcPr>
            <w:tcW w:type="dxa" w:w="4939"/>
          </w:tcPr>
          <w:p>
            <w:r>
              <w:t>Total monthly payment</w:t>
            </w:r>
          </w:p>
        </w:tc>
        <w:tc>
          <w:tcPr>
            <w:tcW w:type="dxa" w:w="4939"/>
          </w:tcPr>
          <w:p>
            <w:r>
              <w:t>EUR 1,310.00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2,970.00,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DE-RA-005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