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Index Linked Rent Apartment Lease</w:t>
      </w:r>
    </w:p>
    <w:p>
      <w:pPr>
        <w:jc w:val="center"/>
      </w:pPr>
      <w:r>
        <w:rPr>
          <w:b/>
          <w:sz w:val="18"/>
        </w:rPr>
        <w:t>Document DE-RA-007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Stuttgart,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74.0 m²; 3 room(s)</w:t>
            </w:r>
          </w:p>
        </w:tc>
      </w:tr>
      <w:tr>
        <w:tc>
          <w:tcPr>
            <w:tcW w:type="dxa" w:w="2880"/>
            <w:vAlign w:val="center"/>
            <w:shd w:fill="E8EDF3"/>
          </w:tcPr>
          <w:p>
            <w:r>
              <w:rPr>
                <w:b/>
              </w:rPr>
              <w:t>Authorized occupancy</w:t>
            </w:r>
          </w:p>
        </w:tc>
        <w:tc>
          <w:tcPr>
            <w:tcW w:type="dxa" w:w="6624"/>
            <w:vAlign w:val="center"/>
          </w:tcPr>
          <w:p>
            <w:r>
              <w:t>two adults</w:t>
            </w:r>
          </w:p>
        </w:tc>
      </w:tr>
      <w:tr>
        <w:tc>
          <w:tcPr>
            <w:tcW w:type="dxa" w:w="2880"/>
            <w:vAlign w:val="center"/>
            <w:shd w:fill="E8EDF3"/>
          </w:tcPr>
          <w:p>
            <w:r>
              <w:rPr>
                <w:b/>
              </w:rPr>
              <w:t>Commencement and duration</w:t>
            </w:r>
          </w:p>
        </w:tc>
        <w:tc>
          <w:tcPr>
            <w:tcW w:type="dxa" w:w="6624"/>
            <w:vAlign w:val="center"/>
          </w:tcPr>
          <w:p>
            <w:r>
              <w:t>1 February 2027;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Rent adjustments refer to the German consumer price index published by the Federal Statistical Office and require a declaration in text form.</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February 2027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1,280.00</w:t>
            </w:r>
          </w:p>
        </w:tc>
      </w:tr>
      <w:tr>
        <w:tc>
          <w:tcPr>
            <w:tcW w:type="dxa" w:w="4939"/>
          </w:tcPr>
          <w:p>
            <w:r>
              <w:t>Operating-cost advance</w:t>
            </w:r>
          </w:p>
        </w:tc>
        <w:tc>
          <w:tcPr>
            <w:tcW w:type="dxa" w:w="4939"/>
          </w:tcPr>
          <w:p>
            <w:r>
              <w:t>EUR 250.00</w:t>
            </w:r>
          </w:p>
        </w:tc>
      </w:tr>
      <w:tr>
        <w:tc>
          <w:tcPr>
            <w:tcW w:type="dxa" w:w="4939"/>
          </w:tcPr>
          <w:p>
            <w:r>
              <w:t>Heating and hot-water advance</w:t>
            </w:r>
          </w:p>
        </w:tc>
        <w:tc>
          <w:tcPr>
            <w:tcW w:type="dxa" w:w="4939"/>
          </w:tcPr>
          <w:p>
            <w:r>
              <w:t>EUR 125.00</w:t>
            </w:r>
          </w:p>
        </w:tc>
      </w:tr>
      <w:tr>
        <w:tc>
          <w:tcPr>
            <w:tcW w:type="dxa" w:w="4939"/>
          </w:tcPr>
          <w:p>
            <w:r>
              <w:t>Total monthly payment</w:t>
            </w:r>
          </w:p>
        </w:tc>
        <w:tc>
          <w:tcPr>
            <w:tcW w:type="dxa" w:w="4939"/>
          </w:tcPr>
          <w:p>
            <w:r>
              <w:t>EUR 1,655.00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Index linked rent</w:t>
      </w:r>
    </w:p>
    <w:p>
      <w:pPr>
        <w:pStyle w:val="BodyText"/>
        <w:keepLines w:val="0"/>
      </w:pPr>
      <w:r>
        <w:t>The parties agree an index-linked rent under section 557b BGB based on the consumer price index for Germany published by the Federal Statistical Office. Any adjustment requires the statutory conditions and a declaration in text form stating the index movement and resulting euro rent. The rent must remain unchanged for the minimum statutory period. This clause does not permit an automatic or retroactive debit without a valid declaration.</w:t>
      </w:r>
    </w:p>
    <w:p>
      <w:pPr>
        <w:pStyle w:val="Heading1"/>
        <w:keepNext/>
      </w:pPr>
      <w:r>
        <w:t>5 Security deposit</w:t>
      </w:r>
    </w:p>
    <w:p>
      <w:pPr>
        <w:pStyle w:val="BodyText"/>
        <w:keepLines w:val="0"/>
      </w:pPr>
      <w:r>
        <w:t>The security is EUR 3,840.00,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DE-RA-007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