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Shared Apartment Single Room Lease</w:t>
      </w:r>
    </w:p>
    <w:p>
      <w:pPr>
        <w:jc w:val="center"/>
      </w:pPr>
      <w:r>
        <w:rPr>
          <w:b/>
          <w:sz w:val="18"/>
        </w:rPr>
        <w:t>Document DE-RA-008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Berlin, Germany</w:t>
            </w:r>
          </w:p>
        </w:tc>
      </w:tr>
      <w:tr>
        <w:tc>
          <w:tcPr>
            <w:tcW w:type="dxa" w:w="2880"/>
            <w:vAlign w:val="center"/>
            <w:shd w:fill="E8EDF3"/>
          </w:tcPr>
          <w:p>
            <w:r>
              <w:rPr>
                <w:b/>
              </w:rPr>
              <w:t>Property type</w:t>
            </w:r>
          </w:p>
        </w:tc>
        <w:tc>
          <w:tcPr>
            <w:tcW w:type="dxa" w:w="6624"/>
            <w:vAlign w:val="center"/>
          </w:tcPr>
          <w:p>
            <w:r>
              <w:t>private room in a shared apartment</w:t>
            </w:r>
          </w:p>
        </w:tc>
      </w:tr>
      <w:tr>
        <w:tc>
          <w:tcPr>
            <w:tcW w:type="dxa" w:w="2880"/>
            <w:vAlign w:val="center"/>
            <w:shd w:fill="E8EDF3"/>
          </w:tcPr>
          <w:p>
            <w:r>
              <w:rPr>
                <w:b/>
              </w:rPr>
              <w:t>Approximate area and rooms</w:t>
            </w:r>
          </w:p>
        </w:tc>
        <w:tc>
          <w:tcPr>
            <w:tcW w:type="dxa" w:w="6624"/>
            <w:vAlign w:val="center"/>
          </w:tcPr>
          <w:p>
            <w:r>
              <w:t>17.0 m² private plus shared areas; 1 private room(s)</w:t>
            </w:r>
          </w:p>
        </w:tc>
      </w:tr>
      <w:tr>
        <w:tc>
          <w:tcPr>
            <w:tcW w:type="dxa" w:w="2880"/>
            <w:vAlign w:val="center"/>
            <w:shd w:fill="E8EDF3"/>
          </w:tcPr>
          <w:p>
            <w:r>
              <w:rPr>
                <w:b/>
              </w:rPr>
              <w:t>Authorized occupancy</w:t>
            </w:r>
          </w:p>
        </w:tc>
        <w:tc>
          <w:tcPr>
            <w:tcW w:type="dxa" w:w="6624"/>
            <w:vAlign w:val="center"/>
          </w:tcPr>
          <w:p>
            <w:r>
              <w:t>one adult</w:t>
            </w:r>
          </w:p>
        </w:tc>
      </w:tr>
      <w:tr>
        <w:tc>
          <w:tcPr>
            <w:tcW w:type="dxa" w:w="2880"/>
            <w:vAlign w:val="center"/>
            <w:shd w:fill="E8EDF3"/>
          </w:tcPr>
          <w:p>
            <w:r>
              <w:rPr>
                <w:b/>
              </w:rPr>
              <w:t>Commencement and duration</w:t>
            </w:r>
          </w:p>
        </w:tc>
        <w:tc>
          <w:tcPr>
            <w:tcW w:type="dxa" w:w="6624"/>
            <w:vAlign w:val="center"/>
          </w:tcPr>
          <w:p>
            <w:r>
              <w:t>1 October 2026;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Exclusive use covers bedroom Room B; kitchen, bath, hall and balcony are shared. Other residents are not parties to this lease.</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October 2026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570.00</w:t>
            </w:r>
          </w:p>
        </w:tc>
      </w:tr>
      <w:tr>
        <w:tc>
          <w:tcPr>
            <w:tcW w:type="dxa" w:w="4939"/>
          </w:tcPr>
          <w:p>
            <w:r>
              <w:t>Operating-cost advance</w:t>
            </w:r>
          </w:p>
        </w:tc>
        <w:tc>
          <w:tcPr>
            <w:tcW w:type="dxa" w:w="4939"/>
          </w:tcPr>
          <w:p>
            <w:r>
              <w:t>EUR 115.00</w:t>
            </w:r>
          </w:p>
        </w:tc>
      </w:tr>
      <w:tr>
        <w:tc>
          <w:tcPr>
            <w:tcW w:type="dxa" w:w="4939"/>
          </w:tcPr>
          <w:p>
            <w:r>
              <w:t>Heating and hot-water advance</w:t>
            </w:r>
          </w:p>
        </w:tc>
        <w:tc>
          <w:tcPr>
            <w:tcW w:type="dxa" w:w="4939"/>
          </w:tcPr>
          <w:p>
            <w:r>
              <w:t>EUR 65.00</w:t>
            </w:r>
          </w:p>
        </w:tc>
      </w:tr>
      <w:tr>
        <w:tc>
          <w:tcPr>
            <w:tcW w:type="dxa" w:w="4939"/>
          </w:tcPr>
          <w:p>
            <w:r>
              <w:t>Total monthly payment</w:t>
            </w:r>
          </w:p>
        </w:tc>
        <w:tc>
          <w:tcPr>
            <w:tcW w:type="dxa" w:w="4939"/>
          </w:tcPr>
          <w:p>
            <w:r>
              <w:t>EUR 750.00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1,710.00,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DE-RA-008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