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Student Residence Room Agreement</w:t>
      </w:r>
    </w:p>
    <w:p>
      <w:pPr>
        <w:jc w:val="center"/>
      </w:pPr>
      <w:r>
        <w:rPr>
          <w:b/>
          <w:sz w:val="18"/>
        </w:rPr>
        <w:t>Document DE-RA-010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Heidelberg, Germany</w:t>
            </w:r>
          </w:p>
        </w:tc>
      </w:tr>
      <w:tr>
        <w:tc>
          <w:tcPr>
            <w:tcW w:type="dxa" w:w="2880"/>
            <w:vAlign w:val="center"/>
            <w:shd w:fill="E8EDF3"/>
          </w:tcPr>
          <w:p>
            <w:r>
              <w:rPr>
                <w:b/>
              </w:rPr>
              <w:t>Property type</w:t>
            </w:r>
          </w:p>
        </w:tc>
        <w:tc>
          <w:tcPr>
            <w:tcW w:type="dxa" w:w="6624"/>
            <w:vAlign w:val="center"/>
          </w:tcPr>
          <w:p>
            <w:r>
              <w:t>student residence room</w:t>
            </w:r>
          </w:p>
        </w:tc>
      </w:tr>
      <w:tr>
        <w:tc>
          <w:tcPr>
            <w:tcW w:type="dxa" w:w="2880"/>
            <w:vAlign w:val="center"/>
            <w:shd w:fill="E8EDF3"/>
          </w:tcPr>
          <w:p>
            <w:r>
              <w:rPr>
                <w:b/>
              </w:rPr>
              <w:t>Approximate area and rooms</w:t>
            </w:r>
          </w:p>
        </w:tc>
        <w:tc>
          <w:tcPr>
            <w:tcW w:type="dxa" w:w="6624"/>
            <w:vAlign w:val="center"/>
          </w:tcPr>
          <w:p>
            <w:r>
              <w:t>16.5 m² private plus shared facilities; 1 private room(s)</w:t>
            </w:r>
          </w:p>
        </w:tc>
      </w:tr>
      <w:tr>
        <w:tc>
          <w:tcPr>
            <w:tcW w:type="dxa" w:w="2880"/>
            <w:vAlign w:val="center"/>
            <w:shd w:fill="E8EDF3"/>
          </w:tcPr>
          <w:p>
            <w:r>
              <w:rPr>
                <w:b/>
              </w:rPr>
              <w:t>Authorized occupancy</w:t>
            </w:r>
          </w:p>
        </w:tc>
        <w:tc>
          <w:tcPr>
            <w:tcW w:type="dxa" w:w="6624"/>
            <w:vAlign w:val="center"/>
          </w:tcPr>
          <w:p>
            <w:r>
              <w:t>one enrolled student</w:t>
            </w:r>
          </w:p>
        </w:tc>
      </w:tr>
      <w:tr>
        <w:tc>
          <w:tcPr>
            <w:tcW w:type="dxa" w:w="2880"/>
            <w:vAlign w:val="center"/>
            <w:shd w:fill="E8EDF3"/>
          </w:tcPr>
          <w:p>
            <w:r>
              <w:rPr>
                <w:b/>
              </w:rPr>
              <w:t>Commencement and duration</w:t>
            </w:r>
          </w:p>
        </w:tc>
        <w:tc>
          <w:tcPr>
            <w:tcW w:type="dxa" w:w="6624"/>
            <w:vAlign w:val="center"/>
          </w:tcPr>
          <w:p>
            <w:r>
              <w:t>1 October 2026; fixed until 30 September 2027</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Eligibility depends on continued student status. Statutory special rules for student residences may apply; no interest is promised on the cash security where section 551(3) BGB permits the exception.</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October 2026 and is fixed until 30 September 2027. Possession, keys and meter readings will be documented in a handover record signed by both parties.</w:t>
      </w:r>
    </w:p>
    <w:p>
      <w:pPr>
        <w:pStyle w:val="BodyText"/>
        <w:keepLines w:val="0"/>
      </w:pPr>
      <w:r>
        <w:t>Eligibility depends on continued student status. Statutory special rules for student residences may apply; no interest is promised on the cash security where section 551(3) BGB permits the exception.</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420.00</w:t>
            </w:r>
          </w:p>
        </w:tc>
      </w:tr>
      <w:tr>
        <w:tc>
          <w:tcPr>
            <w:tcW w:type="dxa" w:w="4939"/>
          </w:tcPr>
          <w:p>
            <w:r>
              <w:t>Operating-cost advance</w:t>
            </w:r>
          </w:p>
        </w:tc>
        <w:tc>
          <w:tcPr>
            <w:tcW w:type="dxa" w:w="4939"/>
          </w:tcPr>
          <w:p>
            <w:r>
              <w:t>EUR 125.00</w:t>
            </w:r>
          </w:p>
        </w:tc>
      </w:tr>
      <w:tr>
        <w:tc>
          <w:tcPr>
            <w:tcW w:type="dxa" w:w="4939"/>
          </w:tcPr>
          <w:p>
            <w:r>
              <w:t>Heating and hot-water advance</w:t>
            </w:r>
          </w:p>
        </w:tc>
        <w:tc>
          <w:tcPr>
            <w:tcW w:type="dxa" w:w="4939"/>
          </w:tcPr>
          <w:p>
            <w:r>
              <w:t>EUR 60.00</w:t>
            </w:r>
          </w:p>
        </w:tc>
      </w:tr>
      <w:tr>
        <w:tc>
          <w:tcPr>
            <w:tcW w:type="dxa" w:w="4939"/>
          </w:tcPr>
          <w:p>
            <w:r>
              <w:t>Total monthly payment</w:t>
            </w:r>
          </w:p>
        </w:tc>
        <w:tc>
          <w:tcPr>
            <w:tcW w:type="dxa" w:w="4939"/>
          </w:tcPr>
          <w:p>
            <w:r>
              <w:t>EUR 605.00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1,260.00,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DE-RA-010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