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Apartment Lease With Separate Parking Agreement</w:t>
      </w:r>
    </w:p>
    <w:p>
      <w:pPr>
        <w:jc w:val="center"/>
      </w:pPr>
      <w:r>
        <w:rPr>
          <w:b/>
          <w:sz w:val="18"/>
        </w:rPr>
        <w:t>Document DE-RA-014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Nuremberg,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69.0 m²; 3 room(s)</w:t>
            </w:r>
          </w:p>
        </w:tc>
      </w:tr>
      <w:tr>
        <w:tc>
          <w:tcPr>
            <w:tcW w:type="dxa" w:w="2880"/>
            <w:vAlign w:val="center"/>
            <w:shd w:fill="E8EDF3"/>
          </w:tcPr>
          <w:p>
            <w:r>
              <w:rPr>
                <w:b/>
              </w:rPr>
              <w:t>Authorized occupancy</w:t>
            </w:r>
          </w:p>
        </w:tc>
        <w:tc>
          <w:tcPr>
            <w:tcW w:type="dxa" w:w="6624"/>
            <w:vAlign w:val="center"/>
          </w:tcPr>
          <w:p>
            <w:r>
              <w:t>two adults</w:t>
            </w:r>
          </w:p>
        </w:tc>
      </w:tr>
      <w:tr>
        <w:tc>
          <w:tcPr>
            <w:tcW w:type="dxa" w:w="2880"/>
            <w:vAlign w:val="center"/>
            <w:shd w:fill="E8EDF3"/>
          </w:tcPr>
          <w:p>
            <w:r>
              <w:rPr>
                <w:b/>
              </w:rPr>
              <w:t>Commencement and duration</w:t>
            </w:r>
          </w:p>
        </w:tc>
        <w:tc>
          <w:tcPr>
            <w:tcW w:type="dxa" w:w="6624"/>
            <w:vAlign w:val="center"/>
          </w:tcPr>
          <w:p>
            <w:r>
              <w:t>1 November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Parking Space P-17 is governed by a separately terminable parking agreement and its EUR 85 monthly charge is not part of the residential net cold rent.</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November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1,090.00</w:t>
            </w:r>
          </w:p>
        </w:tc>
      </w:tr>
      <w:tr>
        <w:tc>
          <w:tcPr>
            <w:tcW w:type="dxa" w:w="4939"/>
          </w:tcPr>
          <w:p>
            <w:r>
              <w:t>Operating-cost advance</w:t>
            </w:r>
          </w:p>
        </w:tc>
        <w:tc>
          <w:tcPr>
            <w:tcW w:type="dxa" w:w="4939"/>
          </w:tcPr>
          <w:p>
            <w:r>
              <w:t>EUR 225.00</w:t>
            </w:r>
          </w:p>
        </w:tc>
      </w:tr>
      <w:tr>
        <w:tc>
          <w:tcPr>
            <w:tcW w:type="dxa" w:w="4939"/>
          </w:tcPr>
          <w:p>
            <w:r>
              <w:t>Heating and hot-water advance</w:t>
            </w:r>
          </w:p>
        </w:tc>
        <w:tc>
          <w:tcPr>
            <w:tcW w:type="dxa" w:w="4939"/>
          </w:tcPr>
          <w:p>
            <w:r>
              <w:t>EUR 115.00</w:t>
            </w:r>
          </w:p>
        </w:tc>
      </w:tr>
      <w:tr>
        <w:tc>
          <w:tcPr>
            <w:tcW w:type="dxa" w:w="4939"/>
          </w:tcPr>
          <w:p>
            <w:r>
              <w:t>Total monthly payment</w:t>
            </w:r>
          </w:p>
        </w:tc>
        <w:tc>
          <w:tcPr>
            <w:tcW w:type="dxa" w:w="4939"/>
          </w:tcPr>
          <w:p>
            <w:r>
              <w:t>EUR 1,430.00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3,270.00,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DE-RA-014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