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Residential Tenancy Agreement</w:t>
      </w:r>
    </w:p>
    <w:p>
      <w:pPr>
        <w:pStyle w:val="Subtitle"/>
        <w:jc w:val="center"/>
      </w:pPr>
      <w:r>
        <w:t>Apartment Lease With Operating Cost Advance</w:t>
      </w:r>
    </w:p>
    <w:p>
      <w:pPr>
        <w:jc w:val="center"/>
      </w:pPr>
      <w:r>
        <w:rPr>
          <w:b/>
          <w:sz w:val="18"/>
        </w:rPr>
        <w:t>Document DE-RA-015  |  English synthetic example  |  German residential law reference</w:t>
      </w:r>
    </w:p>
    <w:p>
      <w:pPr>
        <w:pStyle w:val="BodyText"/>
      </w:pPr>
      <w:r>
        <w:rPr>
          <w:b/>
        </w:rPr>
        <w:t>Purpose and status. This document is a synthetic, privacy-safe example designed for software demonstration, document analysis, and user education. It contains no real personal data and is not a substitute for an individually reviewed German-language lease. German statutory wording and the facts of a particular tenancy control over this English drafting aid.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6624"/>
      </w:tblGrid>
      <w:tr>
        <w:tc>
          <w:tcPr>
            <w:tcW w:type="dxa" w:w="4939"/>
            <w:vAlign w:val="center"/>
            <w:shd w:fill="E8EDF3"/>
          </w:tcPr>
          <w:p>
            <w:r>
              <w:rPr>
                <w:b/>
              </w:rPr>
              <w:t>Landlord</w:t>
            </w:r>
          </w:p>
        </w:tc>
        <w:tc>
          <w:tcPr>
            <w:tcW w:type="dxa" w:w="4939"/>
            <w:vAlign w:val="center"/>
          </w:tcPr>
          <w:p>
            <w:r>
              <w:t>[LANDLORD NAME REDACTED]</w:t>
              <w:br/>
              <w:t>[LANDLORD ADDRESS REDACTED]</w:t>
            </w:r>
          </w:p>
        </w:tc>
      </w:tr>
      <w:tr>
        <w:tc>
          <w:tcPr>
            <w:tcW w:type="dxa" w:w="2880"/>
            <w:vAlign w:val="center"/>
            <w:shd w:fill="E8EDF3"/>
          </w:tcPr>
          <w:p>
            <w:r>
              <w:rPr>
                <w:b/>
              </w:rPr>
              <w:t>Tenant</w:t>
            </w:r>
          </w:p>
        </w:tc>
        <w:tc>
          <w:tcPr>
            <w:tcW w:type="dxa" w:w="6624"/>
            <w:vAlign w:val="center"/>
          </w:tcPr>
          <w:p>
            <w:r>
              <w:t>[TENANT NAME REDACTED]</w:t>
              <w:br/>
              <w:t>[TENANT ADDRESS REDACTED]</w:t>
            </w:r>
          </w:p>
        </w:tc>
      </w:tr>
      <w:tr>
        <w:tc>
          <w:tcPr>
            <w:tcW w:type="dxa" w:w="2880"/>
            <w:vAlign w:val="center"/>
            <w:shd w:fill="E8EDF3"/>
          </w:tcPr>
          <w:p>
            <w:r>
              <w:rPr>
                <w:b/>
              </w:rPr>
              <w:t>Rental property</w:t>
            </w:r>
          </w:p>
        </w:tc>
        <w:tc>
          <w:tcPr>
            <w:tcW w:type="dxa" w:w="6624"/>
            <w:vAlign w:val="center"/>
          </w:tcPr>
          <w:p>
            <w:r>
              <w:t>[FULL ADDRESS REDACTED], Bremen, Germany</w:t>
            </w:r>
          </w:p>
        </w:tc>
      </w:tr>
      <w:tr>
        <w:tc>
          <w:tcPr>
            <w:tcW w:type="dxa" w:w="2880"/>
            <w:vAlign w:val="center"/>
            <w:shd w:fill="E8EDF3"/>
          </w:tcPr>
          <w:p>
            <w:r>
              <w:rPr>
                <w:b/>
              </w:rPr>
              <w:t>Property type</w:t>
            </w:r>
          </w:p>
        </w:tc>
        <w:tc>
          <w:tcPr>
            <w:tcW w:type="dxa" w:w="6624"/>
            <w:vAlign w:val="center"/>
          </w:tcPr>
          <w:p>
            <w:r>
              <w:t>unfurnished apartment</w:t>
            </w:r>
          </w:p>
        </w:tc>
      </w:tr>
      <w:tr>
        <w:tc>
          <w:tcPr>
            <w:tcW w:type="dxa" w:w="2880"/>
            <w:vAlign w:val="center"/>
            <w:shd w:fill="E8EDF3"/>
          </w:tcPr>
          <w:p>
            <w:r>
              <w:rPr>
                <w:b/>
              </w:rPr>
              <w:t>Approximate area and rooms</w:t>
            </w:r>
          </w:p>
        </w:tc>
        <w:tc>
          <w:tcPr>
            <w:tcW w:type="dxa" w:w="6624"/>
            <w:vAlign w:val="center"/>
          </w:tcPr>
          <w:p>
            <w:r>
              <w:t>54.0 m²; 2 room(s)</w:t>
            </w:r>
          </w:p>
        </w:tc>
      </w:tr>
      <w:tr>
        <w:tc>
          <w:tcPr>
            <w:tcW w:type="dxa" w:w="2880"/>
            <w:vAlign w:val="center"/>
            <w:shd w:fill="E8EDF3"/>
          </w:tcPr>
          <w:p>
            <w:r>
              <w:rPr>
                <w:b/>
              </w:rPr>
              <w:t>Authorized occupancy</w:t>
            </w:r>
          </w:p>
        </w:tc>
        <w:tc>
          <w:tcPr>
            <w:tcW w:type="dxa" w:w="6624"/>
            <w:vAlign w:val="center"/>
          </w:tcPr>
          <w:p>
            <w:r>
              <w:t>one adult</w:t>
            </w:r>
          </w:p>
        </w:tc>
      </w:tr>
      <w:tr>
        <w:tc>
          <w:tcPr>
            <w:tcW w:type="dxa" w:w="2880"/>
            <w:vAlign w:val="center"/>
            <w:shd w:fill="E8EDF3"/>
          </w:tcPr>
          <w:p>
            <w:r>
              <w:rPr>
                <w:b/>
              </w:rPr>
              <w:t>Commencement and duration</w:t>
            </w:r>
          </w:p>
        </w:tc>
        <w:tc>
          <w:tcPr>
            <w:tcW w:type="dxa" w:w="6624"/>
            <w:vAlign w:val="center"/>
          </w:tcPr>
          <w:p>
            <w:r>
              <w:t>1 October 2026; indefinite</w:t>
            </w:r>
          </w:p>
        </w:tc>
      </w:tr>
    </w:tbl>
    <w:p>
      <w:pPr>
        <w:pStyle w:val="Heading1"/>
        <w:keepNext/>
      </w:pPr>
      <w:r>
        <w:t>1 Parties and leased premises</w:t>
      </w:r>
    </w:p>
    <w:p>
      <w:pPr>
        <w:pStyle w:val="BodyText"/>
        <w:keepLines w:val="0"/>
      </w:pPr>
      <w:r>
        <w:t>The landlord lets to the tenant the residential premises described above. The lease covers only the rooms, fixtures, keys and ancillary areas recorded in the signed handover and inventory records. The tenant may use the premises as a private residence for the authorized occupancy stated above.</w:t>
      </w:r>
    </w:p>
    <w:p>
      <w:pPr>
        <w:pStyle w:val="BodyText"/>
        <w:keepLines w:val="0"/>
      </w:pPr>
      <w:r>
        <w:t>Operating costs are monthly advances subject to annual reconciliation, not a fixed inclusive lump sum.</w:t>
      </w:r>
    </w:p>
    <w:p>
      <w:pPr>
        <w:pStyle w:val="BodyText"/>
        <w:keepLines w:val="0"/>
      </w:pPr>
      <w:r>
        <w:t>The landlord must provide and maintain the premises in a condition suitable for the agreed residential use. The tenant must pay the agreed rent. These core duties reflect section 535 of the German Civil Code (BGB). Approximate area information describes the property but does not waive statutory rights if a legally significant discrepancy exists.</w:t>
      </w:r>
    </w:p>
    <w:p>
      <w:pPr>
        <w:pStyle w:val="Heading1"/>
        <w:keepNext/>
      </w:pPr>
      <w:r>
        <w:t>2 Term and possession</w:t>
      </w:r>
    </w:p>
    <w:p>
      <w:pPr>
        <w:pStyle w:val="BodyText"/>
        <w:keepLines w:val="0"/>
      </w:pPr>
      <w:r>
        <w:t>The tenancy begins on 1 October 2026 and is indefinite. Possession, keys and meter readings will be documented in a handover record signed by both parties.</w:t>
      </w:r>
    </w:p>
    <w:p>
      <w:pPr>
        <w:pStyle w:val="BodyText"/>
        <w:keepLines w:val="0"/>
      </w:pPr>
      <w:r>
        <w:t>Any agreement that depends on a statutory ground, notice form, or mandatory tenant protection applies only to the extent permitted by law. Continuation, extension and termination are governed by the applicable BGB provisions.</w:t>
      </w:r>
    </w:p>
    <w:p>
      <w:pPr>
        <w:pStyle w:val="Heading1"/>
        <w:keepNext/>
      </w:pPr>
      <w:r>
        <w:t>3 Rent and payment</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c>
          <w:tcPr>
            <w:tcW w:type="dxa" w:w="4939"/>
            <w:shd w:fill="24364B"/>
          </w:tcPr>
          <w:p>
            <w:r>
              <w:rPr>
                <w:b/>
                <w:color w:val="FFFFFF"/>
              </w:rPr>
              <w:t>Monthly component</w:t>
            </w:r>
          </w:p>
        </w:tc>
        <w:tc>
          <w:tcPr>
            <w:tcW w:type="dxa" w:w="4939"/>
            <w:shd w:fill="24364B"/>
          </w:tcPr>
          <w:p>
            <w:r>
              <w:rPr>
                <w:b/>
                <w:color w:val="FFFFFF"/>
              </w:rPr>
              <w:t>Amount</w:t>
            </w:r>
          </w:p>
        </w:tc>
      </w:tr>
      <w:tr>
        <w:tc>
          <w:tcPr>
            <w:tcW w:type="dxa" w:w="4939"/>
          </w:tcPr>
          <w:p>
            <w:r>
              <w:t>Net cold rent</w:t>
            </w:r>
          </w:p>
        </w:tc>
        <w:tc>
          <w:tcPr>
            <w:tcW w:type="dxa" w:w="4939"/>
          </w:tcPr>
          <w:p>
            <w:r>
              <w:t>EUR 820.00</w:t>
            </w:r>
          </w:p>
        </w:tc>
      </w:tr>
      <w:tr>
        <w:tc>
          <w:tcPr>
            <w:tcW w:type="dxa" w:w="4939"/>
          </w:tcPr>
          <w:p>
            <w:r>
              <w:t>Operating-cost advance</w:t>
            </w:r>
          </w:p>
        </w:tc>
        <w:tc>
          <w:tcPr>
            <w:tcW w:type="dxa" w:w="4939"/>
          </w:tcPr>
          <w:p>
            <w:r>
              <w:t>EUR 180.00</w:t>
            </w:r>
          </w:p>
        </w:tc>
      </w:tr>
      <w:tr>
        <w:tc>
          <w:tcPr>
            <w:tcW w:type="dxa" w:w="4939"/>
          </w:tcPr>
          <w:p>
            <w:r>
              <w:t>Heating and hot-water advance</w:t>
            </w:r>
          </w:p>
        </w:tc>
        <w:tc>
          <w:tcPr>
            <w:tcW w:type="dxa" w:w="4939"/>
          </w:tcPr>
          <w:p>
            <w:r>
              <w:t>EUR 95.00</w:t>
            </w:r>
          </w:p>
        </w:tc>
      </w:tr>
      <w:tr>
        <w:tc>
          <w:tcPr>
            <w:tcW w:type="dxa" w:w="4939"/>
          </w:tcPr>
          <w:p>
            <w:r>
              <w:t>Total monthly payment</w:t>
            </w:r>
          </w:p>
        </w:tc>
        <w:tc>
          <w:tcPr>
            <w:tcW w:type="dxa" w:w="4939"/>
          </w:tcPr>
          <w:p>
            <w:r>
              <w:t>EUR 1,095.00</w:t>
            </w:r>
          </w:p>
        </w:tc>
      </w:tr>
    </w:tbl>
    <w:p>
      <w:pPr>
        <w:pStyle w:val="BodyText"/>
      </w:pPr>
      <w:r>
        <w:t>The monthly total is due no later than the statutory due date under section 556b BGB, by transfer to [IBAN REDACTED], [ACCOUNT HOLDER REDACTED]. Bank details must be independently verified before the first transfer. Payment timing, default consequences and set-off rights remain subject to mandatory law.</w:t>
      </w:r>
    </w:p>
    <w:p>
      <w:pPr>
        <w:pStyle w:val="Heading1"/>
        <w:keepNext/>
      </w:pPr>
      <w:r>
        <w:t>4 Changes to the rent</w:t>
      </w:r>
    </w:p>
    <w:p>
      <w:pPr>
        <w:pStyle w:val="BodyText"/>
        <w:keepLines w:val="0"/>
      </w:pPr>
      <w:r>
        <w:t>The landlord may change the rent only by agreement or through a legally available procedure. Any rent cap, rent-brake rule, information duty, local ordinance, modernization rule, waiting period, formal requirement and tenant objection available under applicable law remains unaffected. No clause in this agreement constitutes advance consent to an otherwise invalid increase.</w:t>
      </w:r>
    </w:p>
    <w:p>
      <w:pPr>
        <w:pStyle w:val="Heading1"/>
        <w:keepNext/>
      </w:pPr>
      <w:r>
        <w:t>5 Security deposit</w:t>
      </w:r>
    </w:p>
    <w:p>
      <w:pPr>
        <w:pStyle w:val="BodyText"/>
        <w:keepLines w:val="0"/>
      </w:pPr>
      <w:r>
        <w:t>The security is EUR 2,460.00, equal to no more than three months’ net cold rent. The tenant may pay a cash security in three equal monthly instalments, the first at commencement and the next two with the following rent payments.</w:t>
      </w:r>
    </w:p>
    <w:p>
      <w:pPr>
        <w:pStyle w:val="BodyText"/>
        <w:keepLines w:val="0"/>
      </w:pPr>
      <w:r>
        <w:t>A cash deposit must be held separately from the landlord’s assets and accrue the return required by section 551 BGB. It secures valid claims arising from the tenancy. It may not automatically be treated as the final rent payment. Settlement and repayment follow after return of the premises and a reasonable period for checking outstanding claims; any undisputed balance should be returned without undue delay.</w:t>
      </w:r>
    </w:p>
    <w:p>
      <w:pPr>
        <w:pStyle w:val="Heading1"/>
        <w:keepNext/>
      </w:pPr>
      <w:r>
        <w:t>6 Operating costs and annual statement</w:t>
      </w:r>
    </w:p>
    <w:p>
      <w:pPr>
        <w:pStyle w:val="BodyText"/>
        <w:keepLines w:val="0"/>
      </w:pPr>
      <w:r>
        <w:t>The tenant bears only operating costs validly agreed and falling within section 2 of the Operating Costs Ordinance (BetrKV), subject to mandatory exceptions. Administrative costs, financing costs and repair costs are not converted into operating costs merely by being listed on an invoice.</w:t>
      </w:r>
    </w:p>
    <w:p>
      <w:pPr>
        <w:pStyle w:val="BodyText"/>
        <w:keepLines w:val="0"/>
      </w:pPr>
      <w:r>
        <w:t>Where advances are agreed, the landlord provides an annual statement no later than twelve months after the end of the accounting period, observes the principle of economic efficiency and provides access to supporting records on request under section 556 BGB. Allocation keys must be stated and applied consistently. A late additional claim is excluded unless the statutory exception applies.</w:t>
      </w:r>
    </w:p>
    <w:p>
      <w:pPr>
        <w:pStyle w:val="BodyText"/>
        <w:keepLines w:val="0"/>
      </w:pPr>
      <w:r>
        <w:t>Heating and hot-water expenses are allocated under the Heating Costs Ordinance where applicable. Carbon dioxide costs are allocated under the CO2 Cost Allocation Act where applicable. The parties do not waive mandatory tenant rights.</w:t>
      </w:r>
    </w:p>
    <w:p>
      <w:pPr>
        <w:pStyle w:val="Heading1"/>
        <w:keepNext/>
      </w:pPr>
      <w:r>
        <w:t>7 Condition handover defects and repairs</w:t>
      </w:r>
    </w:p>
    <w:p>
      <w:pPr>
        <w:pStyle w:val="BodyText"/>
        <w:keepLines w:val="0"/>
      </w:pPr>
      <w:r>
        <w:t>The parties will record rooms, fixtures, meter readings, keys and visible defects at handover. Photographs may be attached with both parties’ consent. A signed record documents observations but does not conclusively waive hidden-defect rights.</w:t>
      </w:r>
    </w:p>
    <w:p>
      <w:pPr>
        <w:pStyle w:val="BodyText"/>
        <w:keepLines w:val="0"/>
      </w:pPr>
      <w:r>
        <w:t>The tenant must notify the landlord promptly of defects or dangers. Statutory rights concerning repair, rent reduction and damages remain governed by sections 535, 536 and related BGB provisions. The tenant must allow reasonable access for necessary inspection or work after appropriate notice, except in a genuine emergency.</w:t>
      </w:r>
    </w:p>
    <w:p>
      <w:pPr>
        <w:pStyle w:val="BodyText"/>
        <w:keepLines w:val="0"/>
      </w:pPr>
      <w:r>
        <w:t>No standard-form clause requires the tenant to renovate regardless of actual condition, perform fixed-schedule cosmetic repairs, or pay for structural maintenance. Any minor-repair allocation applies only if separately valid, narrowly drafted and within lawful monetary and subject-matter limits.</w:t>
      </w:r>
    </w:p>
    <w:p>
      <w:pPr>
        <w:pStyle w:val="Heading1"/>
        <w:keepNext/>
      </w:pPr>
      <w:r>
        <w:t>8 Use occupancy and subletting</w:t>
      </w:r>
    </w:p>
    <w:p>
      <w:pPr>
        <w:pStyle w:val="BodyText"/>
        <w:keepLines w:val="0"/>
      </w:pPr>
      <w:r>
        <w:t>The premises may be used for residential purposes. Ordinary home-office activity without material external impact is permitted; a business use involving employees, customers, signage, nuisance or change of use requires prior review and any necessary consent.</w:t>
      </w:r>
    </w:p>
    <w:p>
      <w:pPr>
        <w:pStyle w:val="BodyText"/>
        <w:keepLines w:val="0"/>
      </w:pPr>
      <w:r>
        <w:t>Transfer of use to a third party or subletting requires consent where the law requires it. Tenant rights to request permission for partial subletting, including section 553 BGB where applicable, remain unaffected. Guests do not become unauthorized occupants solely because of an ordinary temporary visit.</w:t>
      </w:r>
    </w:p>
    <w:p>
      <w:pPr>
        <w:pStyle w:val="Heading1"/>
        <w:keepNext/>
      </w:pPr>
      <w:r>
        <w:t>9 House rules neighbours and animals</w:t>
      </w:r>
    </w:p>
    <w:p>
      <w:pPr>
        <w:pStyle w:val="BodyText"/>
        <w:keepLines w:val="0"/>
      </w:pPr>
      <w:r>
        <w:t>The tenant must show reasonable consideration for neighbours, observe lawful quiet periods, dispose of waste correctly, ventilate and heat reasonably, and keep escape routes clear. House rules form part of the agreement only insofar as provided before signature and legally valid; later rules may organize use but may not materially rewrite the lease.</w:t>
      </w:r>
    </w:p>
    <w:p>
      <w:pPr>
        <w:pStyle w:val="BodyText"/>
        <w:keepLines w:val="0"/>
      </w:pPr>
      <w:r>
        <w:t>Keeping animals is assessed under mandatory law and the circumstances of the building, animal and parties. No blanket prohibition applies to customary small animals. Dangerous, unusually numerous or materially disruptive animals may require consent or restrictions.</w:t>
      </w:r>
    </w:p>
    <w:p>
      <w:pPr>
        <w:pStyle w:val="Heading1"/>
        <w:keepNext/>
      </w:pPr>
      <w:r>
        <w:t>10 Utilities internet and broadcasting contribution</w:t>
      </w:r>
    </w:p>
    <w:p>
      <w:pPr>
        <w:pStyle w:val="BodyText"/>
        <w:keepLines w:val="0"/>
      </w:pPr>
      <w:r>
        <w:t>Unless expressly included, the tenant arranges and pays for electricity, telecommunications and internet directly. The tenant is responsible for any statutory broadcasting contribution applicable to the household. A supplier contract does not alter the landlord’s duties concerning the building’s installations.</w:t>
      </w:r>
    </w:p>
    <w:p>
      <w:pPr>
        <w:pStyle w:val="Heading1"/>
        <w:keepNext/>
      </w:pPr>
      <w:r>
        <w:t>11 Data keys and safety</w:t>
      </w:r>
    </w:p>
    <w:p>
      <w:pPr>
        <w:pStyle w:val="BodyText"/>
        <w:keepLines w:val="0"/>
      </w:pPr>
      <w:r>
        <w:t>Personal data may be processed only for administering the tenancy, complying with legal duties and pursuing legitimate claims, in accordance with applicable data-protection law. Documents provided for screening must be limited to what is necessary and retained only as lawfully justified.</w:t>
      </w:r>
    </w:p>
    <w:p>
      <w:pPr>
        <w:pStyle w:val="BodyText"/>
        <w:keepLines w:val="0"/>
      </w:pPr>
      <w:r>
        <w:t>All keys and access media are listed at handover. Loss must be reported promptly. The tenant is liable only under applicable fault and causation principles; replacement of an entire locking system requires a concrete, legally recoverable need rather than an automatic charge.</w:t>
      </w:r>
    </w:p>
    <w:p>
      <w:pPr>
        <w:pStyle w:val="Heading1"/>
        <w:keepNext/>
      </w:pPr>
      <w:r>
        <w:t>12 Entry by the landlord</w:t>
      </w:r>
    </w:p>
    <w:p>
      <w:pPr>
        <w:pStyle w:val="BodyText"/>
        <w:keepLines w:val="0"/>
      </w:pPr>
      <w:r>
        <w:t>The landlord has no general right to enter the dwelling. Entry requires a specific legitimate reason, reasonable advance notice and coordination with the tenant, except where immediate action is necessary to prevent serious danger. Viewings, inspections and works must respect proportionality and the tenant’s home and privacy.</w:t>
      </w:r>
    </w:p>
    <w:p>
      <w:pPr>
        <w:pStyle w:val="Heading1"/>
        <w:keepNext/>
      </w:pPr>
      <w:r>
        <w:t>13 Notices and termination</w:t>
      </w:r>
    </w:p>
    <w:p>
      <w:pPr>
        <w:pStyle w:val="BodyText"/>
        <w:keepLines w:val="0"/>
      </w:pPr>
      <w:r>
        <w:t>Termination of a residential tenancy must satisfy the applicable statutory grounds, notice periods and written-form requirement. Section 568 BGB requires written form for termination. An ordinary landlord termination generally requires a legitimate statutory interest and reasons; tenant and landlord notice periods are governed by section 573c BGB and other applicable rules.</w:t>
      </w:r>
    </w:p>
    <w:p>
      <w:pPr>
        <w:pStyle w:val="BodyText"/>
        <w:keepLines w:val="0"/>
      </w:pPr>
      <w:r>
        <w:t>The parties may communicate routine administrative matters by email at [EMAIL REDACTED], but email alone does not replace a legally required written form. Extraordinary termination rights and tenant hardship protections remain unaffected.</w:t>
      </w:r>
    </w:p>
    <w:p>
      <w:pPr>
        <w:pStyle w:val="Heading1"/>
        <w:keepNext/>
      </w:pPr>
      <w:r>
        <w:t>14 Return of the premises</w:t>
      </w:r>
    </w:p>
    <w:p>
      <w:pPr>
        <w:pStyle w:val="BodyText"/>
        <w:keepLines w:val="0"/>
      </w:pPr>
      <w:r>
        <w:t>At the end of the tenancy, the tenant returns all keys and the premises in the contractually owed condition, allowing for ordinary wear. The parties should prepare a return record with meter readings and a forwarding contact. Claims for damage require proof and must distinguish damage from ordinary use and age-related wear.</w:t>
      </w:r>
    </w:p>
    <w:p>
      <w:pPr>
        <w:pStyle w:val="Heading1"/>
        <w:keepNext/>
      </w:pPr>
      <w:r>
        <w:t>15 Attachments and priority</w:t>
      </w:r>
    </w:p>
    <w:p>
      <w:pPr>
        <w:pStyle w:val="BodyText"/>
        <w:keepLines w:val="0"/>
      </w:pPr>
      <w:r>
        <w:t>The following documents form part of this agreement when supplied and signed as appropriate: handover record; inventory for furnished premises; operating-cost schedule; house rules; energy-certificate information; data-protection notice; and any written consent or fixed-term disclosure. Mandatory law prevails over inconsistent wording. Individually negotiated provisions prevail over standard terms to the extent German law provides.</w:t>
      </w:r>
    </w:p>
    <w:p>
      <w:pPr>
        <w:pStyle w:val="Heading1"/>
        <w:keepNext/>
      </w:pPr>
      <w:r>
        <w:t>16 Severability and language</w:t>
      </w:r>
    </w:p>
    <w:p>
      <w:pPr>
        <w:pStyle w:val="BodyText"/>
        <w:keepLines w:val="0"/>
      </w:pPr>
      <w:r>
        <w:t>If a provision is invalid, mandatory German law applies in its place and the remainder survives where legally possible; the parties do not agree to replace an invalid term with the maximum burden conceivable. German law governs. This English document supports understanding but is not an official translation. For execution, the parties should obtain a German version and independent legal review appropriate to the federal state and property.</w:t>
      </w:r>
    </w:p>
    <w:p>
      <w:pPr>
        <w:pStyle w:val="Heading1"/>
        <w:keepNext/>
      </w:pPr>
      <w:r>
        <w:t>Legal reference notes</w:t>
      </w:r>
    </w:p>
    <w:p>
      <w:pPr>
        <w:pStyle w:val="ListBullet"/>
      </w:pPr>
      <w:r>
        <w:t>German Civil Code BGB sections 305 to 310 on standard terms; sections 535 onward on leases; sections 551, 556, 556b, 557a, 557b, 568, 573, 573c and 575 as applicable.</w:t>
      </w:r>
    </w:p>
    <w:p>
      <w:pPr>
        <w:pStyle w:val="ListBullet"/>
      </w:pPr>
      <w:r>
        <w:t>Operating Costs Ordinance BetrKV, particularly section 2 categories.</w:t>
      </w:r>
    </w:p>
    <w:p>
      <w:pPr>
        <w:pStyle w:val="ListBullet"/>
      </w:pPr>
      <w:r>
        <w:t>Heating Costs Ordinance HeizkostenV and Carbon Dioxide Cost Allocation Act CO2KostAufG where applicable.</w:t>
      </w:r>
    </w:p>
    <w:p>
      <w:pPr>
        <w:pStyle w:val="ListBullet"/>
      </w:pPr>
      <w:r>
        <w:t>Official source: Federal Ministry of Justice and Federal Office of Justice, Laws on the Internet, https://www.gesetze-im-internet.de/. Law checked for this corpus on 11 September 2026.</w:t>
      </w:r>
    </w:p>
    <w:p>
      <w:pPr>
        <w:pStyle w:val="Heading1"/>
        <w:keepNext/>
      </w:pPr>
      <w:r>
        <w:t>Signatures</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c>
          <w:tcPr>
            <w:tcW w:type="dxa" w:w="4939"/>
          </w:tcPr>
          <w:p>
            <w:r>
              <w:t>Place and date: [REDACTED]</w:t>
            </w:r>
          </w:p>
        </w:tc>
        <w:tc>
          <w:tcPr>
            <w:tcW w:type="dxa" w:w="4939"/>
          </w:tcPr>
          <w:p>
            <w:r>
              <w:t>Place and date: [REDACTED]</w:t>
            </w:r>
          </w:p>
        </w:tc>
      </w:tr>
      <w:tr>
        <w:tc>
          <w:tcPr>
            <w:tcW w:type="dxa" w:w="4939"/>
          </w:tcPr>
          <w:p>
            <w:r>
              <w:br/>
              <w:br/>
              <w:t>[LANDLORD SIGNATURE REDACTED]</w:t>
            </w:r>
          </w:p>
        </w:tc>
        <w:tc>
          <w:tcPr>
            <w:tcW w:type="dxa" w:w="4939"/>
          </w:tcPr>
          <w:p>
            <w:r>
              <w:br/>
              <w:br/>
              <w:t>[TENANT SIGNATURE REDACTED]</w:t>
            </w:r>
          </w:p>
        </w:tc>
      </w:tr>
      <w:tr>
        <w:tc>
          <w:tcPr>
            <w:tcW w:type="dxa" w:w="4939"/>
          </w:tcPr>
          <w:p>
            <w:r>
              <w:t>Landlord</w:t>
            </w:r>
          </w:p>
        </w:tc>
        <w:tc>
          <w:tcPr>
            <w:tcW w:type="dxa" w:w="4939"/>
          </w:tcPr>
          <w:p>
            <w:r>
              <w:t>Tenant</w:t>
            </w:r>
          </w:p>
        </w:tc>
      </w:tr>
    </w:tbl>
    <w:sectPr w:rsidR="00FC693F" w:rsidRPr="0006063C" w:rsidSect="00034616">
      <w:footerReference w:type="default" r:id="rId9"/>
      <w:pgSz w:w="12240" w:h="15840"/>
      <w:pgMar w:top="1037"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 xml:space="preserve">DE-RA-015  |  Synthetic and privacy-safe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Aptos" w:hAnsi="Aptos"/>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rPr>
      <w:rFonts w:ascii="Aptos" w:hAnsi="Aptos"/>
      <w:b w:val="0"/>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