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Apartment Lease With Operating Cost Lump Sum</w:t>
      </w:r>
    </w:p>
    <w:p>
      <w:pPr>
        <w:jc w:val="center"/>
      </w:pPr>
      <w:r>
        <w:rPr>
          <w:b/>
          <w:sz w:val="18"/>
        </w:rPr>
        <w:t>Document DE-RA-016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Dresden, Germany</w:t>
            </w:r>
          </w:p>
        </w:tc>
      </w:tr>
      <w:tr>
        <w:tc>
          <w:tcPr>
            <w:tcW w:type="dxa" w:w="2880"/>
            <w:vAlign w:val="center"/>
            <w:shd w:fill="E8EDF3"/>
          </w:tcPr>
          <w:p>
            <w:r>
              <w:rPr>
                <w:b/>
              </w:rPr>
              <w:t>Property type</w:t>
            </w:r>
          </w:p>
        </w:tc>
        <w:tc>
          <w:tcPr>
            <w:tcW w:type="dxa" w:w="6624"/>
            <w:vAlign w:val="center"/>
          </w:tcPr>
          <w:p>
            <w:r>
              <w:t>furnished apartment</w:t>
            </w:r>
          </w:p>
        </w:tc>
      </w:tr>
      <w:tr>
        <w:tc>
          <w:tcPr>
            <w:tcW w:type="dxa" w:w="2880"/>
            <w:vAlign w:val="center"/>
            <w:shd w:fill="E8EDF3"/>
          </w:tcPr>
          <w:p>
            <w:r>
              <w:rPr>
                <w:b/>
              </w:rPr>
              <w:t>Approximate area and rooms</w:t>
            </w:r>
          </w:p>
        </w:tc>
        <w:tc>
          <w:tcPr>
            <w:tcW w:type="dxa" w:w="6624"/>
            <w:vAlign w:val="center"/>
          </w:tcPr>
          <w:p>
            <w:r>
              <w:t>38.0 m²; 1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 November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The general operating-cost amount is agreed as a lump sum; heating and hot-water costs remain separately consumption-based where legally required.</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November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690.00</w:t>
            </w:r>
          </w:p>
        </w:tc>
      </w:tr>
      <w:tr>
        <w:tc>
          <w:tcPr>
            <w:tcW w:type="dxa" w:w="4939"/>
          </w:tcPr>
          <w:p>
            <w:r>
              <w:t>Operating-cost lump sum</w:t>
            </w:r>
          </w:p>
        </w:tc>
        <w:tc>
          <w:tcPr>
            <w:tcW w:type="dxa" w:w="4939"/>
          </w:tcPr>
          <w:p>
            <w:r>
              <w:t>EUR 145.00</w:t>
            </w:r>
          </w:p>
        </w:tc>
      </w:tr>
      <w:tr>
        <w:tc>
          <w:tcPr>
            <w:tcW w:type="dxa" w:w="4939"/>
          </w:tcPr>
          <w:p>
            <w:r>
              <w:t>Heating and hot-water advance</w:t>
            </w:r>
          </w:p>
        </w:tc>
        <w:tc>
          <w:tcPr>
            <w:tcW w:type="dxa" w:w="4939"/>
          </w:tcPr>
          <w:p>
            <w:r>
              <w:t>EUR 75.00</w:t>
            </w:r>
          </w:p>
        </w:tc>
      </w:tr>
      <w:tr>
        <w:tc>
          <w:tcPr>
            <w:tcW w:type="dxa" w:w="4939"/>
          </w:tcPr>
          <w:p>
            <w:r>
              <w:t>Total monthly payment</w:t>
            </w:r>
          </w:p>
        </w:tc>
        <w:tc>
          <w:tcPr>
            <w:tcW w:type="dxa" w:w="4939"/>
          </w:tcPr>
          <w:p>
            <w:r>
              <w:t>EUR 910.00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2,070.00,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DE-RA-016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