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Company Apartment Residential Lease</w:t>
      </w:r>
    </w:p>
    <w:p>
      <w:pPr>
        <w:jc w:val="center"/>
      </w:pPr>
      <w:r>
        <w:rPr>
          <w:b/>
          <w:sz w:val="18"/>
        </w:rPr>
        <w:t>Document DE-RA-017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Frankfurt am Main, Germany</w:t>
            </w:r>
          </w:p>
        </w:tc>
      </w:tr>
      <w:tr>
        <w:tc>
          <w:tcPr>
            <w:tcW w:type="dxa" w:w="2880"/>
            <w:vAlign w:val="center"/>
            <w:shd w:fill="E8EDF3"/>
          </w:tcPr>
          <w:p>
            <w:r>
              <w:rPr>
                <w:b/>
              </w:rPr>
              <w:t>Property type</w:t>
            </w:r>
          </w:p>
        </w:tc>
        <w:tc>
          <w:tcPr>
            <w:tcW w:type="dxa" w:w="6624"/>
            <w:vAlign w:val="center"/>
          </w:tcPr>
          <w:p>
            <w:r>
              <w:t>company-linked residential apartment</w:t>
            </w:r>
          </w:p>
        </w:tc>
      </w:tr>
      <w:tr>
        <w:tc>
          <w:tcPr>
            <w:tcW w:type="dxa" w:w="2880"/>
            <w:vAlign w:val="center"/>
            <w:shd w:fill="E8EDF3"/>
          </w:tcPr>
          <w:p>
            <w:r>
              <w:rPr>
                <w:b/>
              </w:rPr>
              <w:t>Approximate area and rooms</w:t>
            </w:r>
          </w:p>
        </w:tc>
        <w:tc>
          <w:tcPr>
            <w:tcW w:type="dxa" w:w="6624"/>
            <w:vAlign w:val="center"/>
          </w:tcPr>
          <w:p>
            <w:r>
              <w:t>49.0 m²; 2 room(s)</w:t>
            </w:r>
          </w:p>
        </w:tc>
      </w:tr>
      <w:tr>
        <w:tc>
          <w:tcPr>
            <w:tcW w:type="dxa" w:w="2880"/>
            <w:vAlign w:val="center"/>
            <w:shd w:fill="E8EDF3"/>
          </w:tcPr>
          <w:p>
            <w:r>
              <w:rPr>
                <w:b/>
              </w:rPr>
              <w:t>Authorized occupancy</w:t>
            </w:r>
          </w:p>
        </w:tc>
        <w:tc>
          <w:tcPr>
            <w:tcW w:type="dxa" w:w="6624"/>
            <w:vAlign w:val="center"/>
          </w:tcPr>
          <w:p>
            <w:r>
              <w:t>one employee</w:t>
            </w:r>
          </w:p>
        </w:tc>
      </w:tr>
      <w:tr>
        <w:tc>
          <w:tcPr>
            <w:tcW w:type="dxa" w:w="2880"/>
            <w:vAlign w:val="center"/>
            <w:shd w:fill="E8EDF3"/>
          </w:tcPr>
          <w:p>
            <w:r>
              <w:rPr>
                <w:b/>
              </w:rPr>
              <w:t>Commencement and duration</w:t>
            </w:r>
          </w:p>
        </w:tc>
        <w:tc>
          <w:tcPr>
            <w:tcW w:type="dxa" w:w="6624"/>
            <w:vAlign w:val="center"/>
          </w:tcPr>
          <w:p>
            <w:r>
              <w:t>1 December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The dwelling is connected to the tenant’s employment with [EMPLOYER NAME REDACTED]. Mandatory statutory protections and any special provisions for company housing remain unaffected.</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December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980.00</w:t>
            </w:r>
          </w:p>
        </w:tc>
      </w:tr>
      <w:tr>
        <w:tc>
          <w:tcPr>
            <w:tcW w:type="dxa" w:w="4939"/>
          </w:tcPr>
          <w:p>
            <w:r>
              <w:t>Operating-cost advance</w:t>
            </w:r>
          </w:p>
        </w:tc>
        <w:tc>
          <w:tcPr>
            <w:tcW w:type="dxa" w:w="4939"/>
          </w:tcPr>
          <w:p>
            <w:r>
              <w:t>EUR 190.00</w:t>
            </w:r>
          </w:p>
        </w:tc>
      </w:tr>
      <w:tr>
        <w:tc>
          <w:tcPr>
            <w:tcW w:type="dxa" w:w="4939"/>
          </w:tcPr>
          <w:p>
            <w:r>
              <w:t>Heating and hot-water advance</w:t>
            </w:r>
          </w:p>
        </w:tc>
        <w:tc>
          <w:tcPr>
            <w:tcW w:type="dxa" w:w="4939"/>
          </w:tcPr>
          <w:p>
            <w:r>
              <w:t>EUR 100.00</w:t>
            </w:r>
          </w:p>
        </w:tc>
      </w:tr>
      <w:tr>
        <w:tc>
          <w:tcPr>
            <w:tcW w:type="dxa" w:w="4939"/>
          </w:tcPr>
          <w:p>
            <w:r>
              <w:t>Total monthly payment</w:t>
            </w:r>
          </w:p>
        </w:tc>
        <w:tc>
          <w:tcPr>
            <w:tcW w:type="dxa" w:w="4939"/>
          </w:tcPr>
          <w:p>
            <w:r>
              <w:t>EUR 1,270.00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2,940.00,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DE-RA-017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