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Modernized Energy Efficient Apartment Lease</w:t>
      </w:r>
    </w:p>
    <w:p>
      <w:pPr>
        <w:jc w:val="center"/>
      </w:pPr>
      <w:r>
        <w:rPr>
          <w:b/>
          <w:sz w:val="18"/>
        </w:rPr>
        <w:t>Document DE-RA-020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Freiburg im Breisgau, Germany</w:t>
            </w:r>
          </w:p>
        </w:tc>
      </w:tr>
      <w:tr>
        <w:tc>
          <w:tcPr>
            <w:tcW w:type="dxa" w:w="2880"/>
            <w:vAlign w:val="center"/>
            <w:shd w:fill="E8EDF3"/>
          </w:tcPr>
          <w:p>
            <w:r>
              <w:rPr>
                <w:b/>
              </w:rPr>
              <w:t>Property type</w:t>
            </w:r>
          </w:p>
        </w:tc>
        <w:tc>
          <w:tcPr>
            <w:tcW w:type="dxa" w:w="6624"/>
            <w:vAlign w:val="center"/>
          </w:tcPr>
          <w:p>
            <w:r>
              <w:t>unfurnished energy-efficient apartment</w:t>
            </w:r>
          </w:p>
        </w:tc>
      </w:tr>
      <w:tr>
        <w:tc>
          <w:tcPr>
            <w:tcW w:type="dxa" w:w="2880"/>
            <w:vAlign w:val="center"/>
            <w:shd w:fill="E8EDF3"/>
          </w:tcPr>
          <w:p>
            <w:r>
              <w:rPr>
                <w:b/>
              </w:rPr>
              <w:t>Approximate area and rooms</w:t>
            </w:r>
          </w:p>
        </w:tc>
        <w:tc>
          <w:tcPr>
            <w:tcW w:type="dxa" w:w="6624"/>
            <w:vAlign w:val="center"/>
          </w:tcPr>
          <w:p>
            <w:r>
              <w:t>78.0 m²; 3 room(s)</w:t>
            </w:r>
          </w:p>
        </w:tc>
      </w:tr>
      <w:tr>
        <w:tc>
          <w:tcPr>
            <w:tcW w:type="dxa" w:w="2880"/>
            <w:vAlign w:val="center"/>
            <w:shd w:fill="E8EDF3"/>
          </w:tcPr>
          <w:p>
            <w:r>
              <w:rPr>
                <w:b/>
              </w:rPr>
              <w:t>Authorized occupancy</w:t>
            </w:r>
          </w:p>
        </w:tc>
        <w:tc>
          <w:tcPr>
            <w:tcW w:type="dxa" w:w="6624"/>
            <w:vAlign w:val="center"/>
          </w:tcPr>
          <w:p>
            <w:r>
              <w:t>two adults</w:t>
            </w:r>
          </w:p>
        </w:tc>
      </w:tr>
      <w:tr>
        <w:tc>
          <w:tcPr>
            <w:tcW w:type="dxa" w:w="2880"/>
            <w:vAlign w:val="center"/>
            <w:shd w:fill="E8EDF3"/>
          </w:tcPr>
          <w:p>
            <w:r>
              <w:rPr>
                <w:b/>
              </w:rPr>
              <w:t>Commencement and duration</w:t>
            </w:r>
          </w:p>
        </w:tc>
        <w:tc>
          <w:tcPr>
            <w:tcW w:type="dxa" w:w="6624"/>
            <w:vAlign w:val="center"/>
          </w:tcPr>
          <w:p>
            <w:r>
              <w:t>1 February 2027;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Energy-performance information is contained in the separately provided energy certificate. Heating and CO2 costs are allocated under applicable mandatory law, including the Heating Costs Ordinance and CO2 Cost Allocation Act.</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February 2027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1,390.00</w:t>
            </w:r>
          </w:p>
        </w:tc>
      </w:tr>
      <w:tr>
        <w:tc>
          <w:tcPr>
            <w:tcW w:type="dxa" w:w="4939"/>
          </w:tcPr>
          <w:p>
            <w:r>
              <w:t>Operating-cost advance</w:t>
            </w:r>
          </w:p>
        </w:tc>
        <w:tc>
          <w:tcPr>
            <w:tcW w:type="dxa" w:w="4939"/>
          </w:tcPr>
          <w:p>
            <w:r>
              <w:t>EUR 215.00</w:t>
            </w:r>
          </w:p>
        </w:tc>
      </w:tr>
      <w:tr>
        <w:tc>
          <w:tcPr>
            <w:tcW w:type="dxa" w:w="4939"/>
          </w:tcPr>
          <w:p>
            <w:r>
              <w:t>Heating and hot-water advance</w:t>
            </w:r>
          </w:p>
        </w:tc>
        <w:tc>
          <w:tcPr>
            <w:tcW w:type="dxa" w:w="4939"/>
          </w:tcPr>
          <w:p>
            <w:r>
              <w:t>EUR 80.00</w:t>
            </w:r>
          </w:p>
        </w:tc>
      </w:tr>
      <w:tr>
        <w:tc>
          <w:tcPr>
            <w:tcW w:type="dxa" w:w="4939"/>
          </w:tcPr>
          <w:p>
            <w:r>
              <w:t>Total monthly payment</w:t>
            </w:r>
          </w:p>
        </w:tc>
        <w:tc>
          <w:tcPr>
            <w:tcW w:type="dxa" w:w="4939"/>
          </w:tcPr>
          <w:p>
            <w:r>
              <w:t>EUR 1,685.00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4,170.00,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DE-RA-020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