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AB"/>
          <w:sz w:val="40"/>
        </w:rPr>
        <w:t>تأثير نظم ERP على جودة المعلومة المحاسبية</w:t>
      </w:r>
    </w:p>
    <w:p>
      <w:pPr>
        <w:jc w:val="center"/>
      </w:pPr>
      <w:r>
        <w:rPr>
          <w:b w:val="0"/>
          <w:sz w:val="24"/>
        </w:rPr>
        <w:t>═══════════════════════════════════════</w:t>
      </w:r>
    </w:p>
    <w:p>
      <w:pPr>
        <w:jc w:val="center"/>
      </w:pPr>
      <w:r>
        <w:rPr>
          <w:b/>
          <w:sz w:val="24"/>
        </w:rPr>
        <w:t>التقرير الإحصائي الشامل</w:t>
      </w:r>
    </w:p>
    <w:p>
      <w:pPr>
        <w:jc w:val="center"/>
      </w:pPr>
      <w:r>
        <w:rPr>
          <w:b/>
          <w:sz w:val="24"/>
        </w:rPr>
        <w:t>تأثير نظم ERP على جودة المعلومة المحاسبية</w:t>
      </w:r>
    </w:p>
    <w:p>
      <w:pPr>
        <w:jc w:val="center"/>
      </w:pPr>
      <w:r>
        <w:rPr>
          <w:b w:val="0"/>
          <w:sz w:val="24"/>
        </w:rPr>
        <w:t>حجم العينة: 26154 فرد</w:t>
      </w:r>
    </w:p>
    <w:p>
      <w:pPr>
        <w:jc w:val="center"/>
      </w:pPr>
      <w:r>
        <w:rPr>
          <w:b w:val="0"/>
          <w:sz w:val="24"/>
        </w:rPr>
        <w:t>═══════════════════════════════════════</w:t>
      </w:r>
    </w:p>
    <w:p>
      <w:r>
        <w:br w:type="page"/>
      </w:r>
    </w:p>
    <w:p>
      <w:pPr>
        <w:jc w:val="right"/>
      </w:pPr>
      <w:r>
        <w:rPr>
          <w:b/>
          <w:color w:val="A23B72"/>
          <w:sz w:val="32"/>
        </w:rPr>
        <w:t>ملخص تنفيذي</w:t>
      </w:r>
    </w:p>
    <w:p>
      <w:pPr>
        <w:jc w:val="right"/>
      </w:pPr>
      <w:r>
        <w:rPr>
          <w:b w:val="0"/>
          <w:sz w:val="24"/>
        </w:rPr>
        <w:t>تناولت هذه الدراسة موضوع "تأثير نظم ERP على جودة المعلومة المحاسبية" بعينة قوامها 26154 فرد. تم استخدام الاستبيان كأداة رئيسية لجمع البيانات، وتم تحليل البيانات باستخدام الإحصاء الوصفي واختبارات الفروق. أظهرت النتائج وجود اتجاهات إيجابية في معظم محاور الدراسة.</w:t>
      </w:r>
    </w:p>
    <w:p>
      <w:r>
        <w:br w:type="page"/>
      </w:r>
    </w:p>
    <w:p>
      <w:pPr>
        <w:jc w:val="right"/>
      </w:pPr>
      <w:r>
        <w:rPr>
          <w:b/>
          <w:color w:val="A23B72"/>
          <w:sz w:val="32"/>
        </w:rPr>
        <w:t>القسم الأول: الخصائص الديموغرافية للعينة</w:t>
      </w:r>
    </w:p>
    <w:p>
      <w:pPr>
        <w:jc w:val="right"/>
      </w:pPr>
      <w:r>
        <w:rPr>
          <w:b w:val="0"/>
          <w:sz w:val="24"/>
        </w:rPr>
        <w:t>يستعرض هذا القسم الخصائص الديموغرافية لعينة الدراسة.</w:t>
      </w:r>
    </w:p>
    <w:p>
      <w:pPr>
        <w:jc w:val="right"/>
      </w:pPr>
      <w:r>
        <w:rPr>
          <w:b/>
          <w:color w:val="A23B72"/>
          <w:sz w:val="26"/>
        </w:rPr>
        <w:t>جدول توزيع Q13</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2E86AB"/>
          </w:tcPr>
          <w:p>
            <w:r>
              <w:rPr>
                <w:b/>
                <w:color w:val="FFFFFF"/>
                <w:sz w:val="20"/>
              </w:rPr>
              <w:t>القيمة</w:t>
            </w:r>
          </w:p>
        </w:tc>
        <w:tc>
          <w:tcPr>
            <w:tcW w:type="dxa" w:w="2268"/>
            <w:shd w:fill="2E86AB"/>
          </w:tcPr>
          <w:p>
            <w:r>
              <w:rPr>
                <w:b/>
                <w:color w:val="FFFFFF"/>
                <w:sz w:val="20"/>
              </w:rPr>
              <w:t>التكرار</w:t>
            </w:r>
          </w:p>
        </w:tc>
        <w:tc>
          <w:tcPr>
            <w:tcW w:type="dxa" w:w="2268"/>
            <w:shd w:fill="2E86AB"/>
          </w:tcPr>
          <w:p>
            <w:r>
              <w:rPr>
                <w:b/>
                <w:color w:val="FFFFFF"/>
                <w:sz w:val="20"/>
              </w:rPr>
              <w:t>النسبة %</w:t>
            </w:r>
          </w:p>
        </w:tc>
        <w:tc>
          <w:tcPr>
            <w:tcW w:type="dxa" w:w="2268"/>
            <w:shd w:fill="2E86AB"/>
          </w:tcPr>
          <w:p>
            <w:r>
              <w:rPr>
                <w:b/>
                <w:color w:val="FFFFFF"/>
                <w:sz w:val="20"/>
              </w:rPr>
              <w:t>النسبة التراكمية %</w:t>
            </w:r>
          </w:p>
        </w:tc>
      </w:tr>
      <w:tr>
        <w:tc>
          <w:tcPr>
            <w:tcW w:type="dxa" w:w="2268"/>
          </w:tcPr>
          <w:p>
            <w:r>
              <w:rPr>
                <w:sz w:val="20"/>
              </w:rPr>
              <w:t>1.000</w:t>
            </w:r>
          </w:p>
        </w:tc>
        <w:tc>
          <w:tcPr>
            <w:tcW w:type="dxa" w:w="2268"/>
          </w:tcPr>
          <w:p>
            <w:r>
              <w:rPr>
                <w:sz w:val="20"/>
              </w:rPr>
              <w:t>15963.000</w:t>
            </w:r>
          </w:p>
        </w:tc>
        <w:tc>
          <w:tcPr>
            <w:tcW w:type="dxa" w:w="2268"/>
          </w:tcPr>
          <w:p>
            <w:r>
              <w:rPr>
                <w:sz w:val="20"/>
              </w:rPr>
              <w:t>61.030</w:t>
            </w:r>
          </w:p>
        </w:tc>
        <w:tc>
          <w:tcPr>
            <w:tcW w:type="dxa" w:w="2268"/>
          </w:tcPr>
          <w:p>
            <w:r>
              <w:rPr>
                <w:sz w:val="20"/>
              </w:rPr>
              <w:t>61.030</w:t>
            </w:r>
          </w:p>
        </w:tc>
      </w:tr>
      <w:tr>
        <w:tc>
          <w:tcPr>
            <w:tcW w:type="dxa" w:w="2268"/>
          </w:tcPr>
          <w:p>
            <w:r>
              <w:rPr>
                <w:sz w:val="20"/>
              </w:rPr>
              <w:t>2.000</w:t>
            </w:r>
          </w:p>
        </w:tc>
        <w:tc>
          <w:tcPr>
            <w:tcW w:type="dxa" w:w="2268"/>
          </w:tcPr>
          <w:p>
            <w:r>
              <w:rPr>
                <w:sz w:val="20"/>
              </w:rPr>
              <w:t>8615.000</w:t>
            </w:r>
          </w:p>
        </w:tc>
        <w:tc>
          <w:tcPr>
            <w:tcW w:type="dxa" w:w="2268"/>
          </w:tcPr>
          <w:p>
            <w:r>
              <w:rPr>
                <w:sz w:val="20"/>
              </w:rPr>
              <w:t>32.940</w:t>
            </w:r>
          </w:p>
        </w:tc>
        <w:tc>
          <w:tcPr>
            <w:tcW w:type="dxa" w:w="2268"/>
          </w:tcPr>
          <w:p>
            <w:r>
              <w:rPr>
                <w:sz w:val="20"/>
              </w:rPr>
              <w:t>93.970</w:t>
            </w:r>
          </w:p>
        </w:tc>
      </w:tr>
      <w:tr>
        <w:tc>
          <w:tcPr>
            <w:tcW w:type="dxa" w:w="2268"/>
          </w:tcPr>
          <w:p>
            <w:r>
              <w:rPr>
                <w:sz w:val="20"/>
              </w:rPr>
              <w:t>3.000</w:t>
            </w:r>
          </w:p>
        </w:tc>
        <w:tc>
          <w:tcPr>
            <w:tcW w:type="dxa" w:w="2268"/>
          </w:tcPr>
          <w:p>
            <w:r>
              <w:rPr>
                <w:sz w:val="20"/>
              </w:rPr>
              <w:t>348.000</w:t>
            </w:r>
          </w:p>
        </w:tc>
        <w:tc>
          <w:tcPr>
            <w:tcW w:type="dxa" w:w="2268"/>
          </w:tcPr>
          <w:p>
            <w:r>
              <w:rPr>
                <w:sz w:val="20"/>
              </w:rPr>
              <w:t>1.330</w:t>
            </w:r>
          </w:p>
        </w:tc>
        <w:tc>
          <w:tcPr>
            <w:tcW w:type="dxa" w:w="2268"/>
          </w:tcPr>
          <w:p>
            <w:r>
              <w:rPr>
                <w:sz w:val="20"/>
              </w:rPr>
              <w:t>95.300</w:t>
            </w:r>
          </w:p>
        </w:tc>
      </w:tr>
      <w:tr>
        <w:tc>
          <w:tcPr>
            <w:tcW w:type="dxa" w:w="2268"/>
          </w:tcPr>
          <w:p>
            <w:r>
              <w:rPr>
                <w:sz w:val="20"/>
              </w:rPr>
              <w:t>nan</w:t>
            </w:r>
          </w:p>
        </w:tc>
        <w:tc>
          <w:tcPr>
            <w:tcW w:type="dxa" w:w="2268"/>
          </w:tcPr>
          <w:p>
            <w:r>
              <w:rPr>
                <w:sz w:val="20"/>
              </w:rPr>
              <w:t>1228.000</w:t>
            </w:r>
          </w:p>
        </w:tc>
        <w:tc>
          <w:tcPr>
            <w:tcW w:type="dxa" w:w="2268"/>
          </w:tcPr>
          <w:p>
            <w:r>
              <w:rPr>
                <w:sz w:val="20"/>
              </w:rPr>
              <w:t>4.700</w:t>
            </w:r>
          </w:p>
        </w:tc>
        <w:tc>
          <w:tcPr>
            <w:tcW w:type="dxa" w:w="2268"/>
          </w:tcPr>
          <w:p>
            <w:r>
              <w:rPr>
                <w:sz w:val="20"/>
              </w:rPr>
              <w:t>100.000</w:t>
            </w:r>
          </w:p>
        </w:tc>
      </w:tr>
    </w:tbl>
    <w:p/>
    <w:p>
      <w:pPr>
        <w:jc w:val="right"/>
      </w:pPr>
      <w:r>
        <w:rPr>
          <w:b w:val="0"/>
          <w:sz w:val="24"/>
        </w:rPr>
        <w:t>يوضح الجدول أعلاه توزيع المستجيبين على متغير Q13. يُلاحظ أن أكثر الفئات شيوعاً هي الفئة (1.0) بنسبة 61.0%.</w:t>
      </w:r>
    </w:p>
    <w:p>
      <w:pPr>
        <w:jc w:val="right"/>
      </w:pPr>
      <w:r>
        <w:rPr>
          <w:b/>
          <w:color w:val="A23B72"/>
          <w:sz w:val="26"/>
        </w:rPr>
        <w:t>الشكل البياني: توزيع Q13</w:t>
      </w:r>
    </w:p>
    <w:p>
      <w:pPr>
        <w:jc w:val="center"/>
      </w:pPr>
      <w:r>
        <w:drawing>
          <wp:inline xmlns:a="http://schemas.openxmlformats.org/drawingml/2006/main" xmlns:pic="http://schemas.openxmlformats.org/drawingml/2006/picture">
            <wp:extent cx="5040000" cy="3003636"/>
            <wp:docPr id="1" name="Picture 1"/>
            <wp:cNvGraphicFramePr>
              <a:graphicFrameLocks noChangeAspect="1"/>
            </wp:cNvGraphicFramePr>
            <a:graphic>
              <a:graphicData uri="http://schemas.openxmlformats.org/drawingml/2006/picture">
                <pic:pic>
                  <pic:nvPicPr>
                    <pic:cNvPr id="0" name="demo_Q13_bar.png"/>
                    <pic:cNvPicPr/>
                  </pic:nvPicPr>
                  <pic:blipFill>
                    <a:blip r:embed="rId9"/>
                    <a:stretch>
                      <a:fillRect/>
                    </a:stretch>
                  </pic:blipFill>
                  <pic:spPr>
                    <a:xfrm>
                      <a:off x="0" y="0"/>
                      <a:ext cx="5040000" cy="3003636"/>
                    </a:xfrm>
                    <a:prstGeom prst="rect"/>
                  </pic:spPr>
                </pic:pic>
              </a:graphicData>
            </a:graphic>
          </wp:inline>
        </w:drawing>
      </w:r>
    </w:p>
    <w:p/>
    <w:p>
      <w:pPr>
        <w:jc w:val="right"/>
      </w:pPr>
      <w:r>
        <w:rPr>
          <w:b w:val="0"/>
          <w:sz w:val="24"/>
        </w:rPr>
        <w:t>الشكل أعلاه يُظهر توزيع التكرارات لمتغير Q13 على شكل أعمدة.</w:t>
      </w:r>
    </w:p>
    <w:p>
      <w:pPr>
        <w:jc w:val="center"/>
      </w:pPr>
      <w:r>
        <w:drawing>
          <wp:inline xmlns:a="http://schemas.openxmlformats.org/drawingml/2006/main" xmlns:pic="http://schemas.openxmlformats.org/drawingml/2006/picture">
            <wp:extent cx="4320000" cy="4424546"/>
            <wp:docPr id="2" name="Picture 2"/>
            <wp:cNvGraphicFramePr>
              <a:graphicFrameLocks noChangeAspect="1"/>
            </wp:cNvGraphicFramePr>
            <a:graphic>
              <a:graphicData uri="http://schemas.openxmlformats.org/drawingml/2006/picture">
                <pic:pic>
                  <pic:nvPicPr>
                    <pic:cNvPr id="0" name="demo_Q13_pie.png"/>
                    <pic:cNvPicPr/>
                  </pic:nvPicPr>
                  <pic:blipFill>
                    <a:blip r:embed="rId10"/>
                    <a:stretch>
                      <a:fillRect/>
                    </a:stretch>
                  </pic:blipFill>
                  <pic:spPr>
                    <a:xfrm>
                      <a:off x="0" y="0"/>
                      <a:ext cx="4320000" cy="4424546"/>
                    </a:xfrm>
                    <a:prstGeom prst="rect"/>
                  </pic:spPr>
                </pic:pic>
              </a:graphicData>
            </a:graphic>
          </wp:inline>
        </w:drawing>
      </w:r>
    </w:p>
    <w:p/>
    <w:p>
      <w:pPr>
        <w:jc w:val="right"/>
      </w:pPr>
      <w:r>
        <w:rPr>
          <w:b w:val="0"/>
          <w:sz w:val="24"/>
        </w:rPr>
        <w:t>الشكل الدائري يُظهر النسب المئوية لكل فئة من فئات Q13.</w:t>
      </w:r>
    </w:p>
    <w:p>
      <w:pPr>
        <w:jc w:val="right"/>
      </w:pPr>
      <w:r>
        <w:rPr>
          <w:b/>
          <w:color w:val="A23B72"/>
          <w:sz w:val="26"/>
        </w:rPr>
        <w:t>جدول توزيع Q1A_PAL</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2E86AB"/>
          </w:tcPr>
          <w:p>
            <w:r>
              <w:rPr>
                <w:b/>
                <w:color w:val="FFFFFF"/>
                <w:sz w:val="20"/>
              </w:rPr>
              <w:t>القيمة</w:t>
            </w:r>
          </w:p>
        </w:tc>
        <w:tc>
          <w:tcPr>
            <w:tcW w:type="dxa" w:w="2268"/>
            <w:shd w:fill="2E86AB"/>
          </w:tcPr>
          <w:p>
            <w:r>
              <w:rPr>
                <w:b/>
                <w:color w:val="FFFFFF"/>
                <w:sz w:val="20"/>
              </w:rPr>
              <w:t>التكرار</w:t>
            </w:r>
          </w:p>
        </w:tc>
        <w:tc>
          <w:tcPr>
            <w:tcW w:type="dxa" w:w="2268"/>
            <w:shd w:fill="2E86AB"/>
          </w:tcPr>
          <w:p>
            <w:r>
              <w:rPr>
                <w:b/>
                <w:color w:val="FFFFFF"/>
                <w:sz w:val="20"/>
              </w:rPr>
              <w:t>النسبة %</w:t>
            </w:r>
          </w:p>
        </w:tc>
        <w:tc>
          <w:tcPr>
            <w:tcW w:type="dxa" w:w="2268"/>
            <w:shd w:fill="2E86AB"/>
          </w:tcPr>
          <w:p>
            <w:r>
              <w:rPr>
                <w:b/>
                <w:color w:val="FFFFFF"/>
                <w:sz w:val="20"/>
              </w:rPr>
              <w:t>النسبة التراكمية %</w:t>
            </w:r>
          </w:p>
        </w:tc>
      </w:tr>
      <w:tr>
        <w:tc>
          <w:tcPr>
            <w:tcW w:type="dxa" w:w="2268"/>
          </w:tcPr>
          <w:p>
            <w:r>
              <w:rPr>
                <w:sz w:val="20"/>
              </w:rPr>
              <w:t>1.000</w:t>
            </w:r>
          </w:p>
        </w:tc>
        <w:tc>
          <w:tcPr>
            <w:tcW w:type="dxa" w:w="2268"/>
          </w:tcPr>
          <w:p>
            <w:r>
              <w:rPr>
                <w:sz w:val="20"/>
              </w:rPr>
              <w:t>1185.000</w:t>
            </w:r>
          </w:p>
        </w:tc>
        <w:tc>
          <w:tcPr>
            <w:tcW w:type="dxa" w:w="2268"/>
          </w:tcPr>
          <w:p>
            <w:r>
              <w:rPr>
                <w:sz w:val="20"/>
              </w:rPr>
              <w:t>4.530</w:t>
            </w:r>
          </w:p>
        </w:tc>
        <w:tc>
          <w:tcPr>
            <w:tcW w:type="dxa" w:w="2268"/>
          </w:tcPr>
          <w:p>
            <w:r>
              <w:rPr>
                <w:sz w:val="20"/>
              </w:rPr>
              <w:t>4.530</w:t>
            </w:r>
          </w:p>
        </w:tc>
      </w:tr>
      <w:tr>
        <w:tc>
          <w:tcPr>
            <w:tcW w:type="dxa" w:w="2268"/>
          </w:tcPr>
          <w:p>
            <w:r>
              <w:rPr>
                <w:sz w:val="20"/>
              </w:rPr>
              <w:t>2.000</w:t>
            </w:r>
          </w:p>
        </w:tc>
        <w:tc>
          <w:tcPr>
            <w:tcW w:type="dxa" w:w="2268"/>
          </w:tcPr>
          <w:p>
            <w:r>
              <w:rPr>
                <w:sz w:val="20"/>
              </w:rPr>
              <w:t>615.000</w:t>
            </w:r>
          </w:p>
        </w:tc>
        <w:tc>
          <w:tcPr>
            <w:tcW w:type="dxa" w:w="2268"/>
          </w:tcPr>
          <w:p>
            <w:r>
              <w:rPr>
                <w:sz w:val="20"/>
              </w:rPr>
              <w:t>2.350</w:t>
            </w:r>
          </w:p>
        </w:tc>
        <w:tc>
          <w:tcPr>
            <w:tcW w:type="dxa" w:w="2268"/>
          </w:tcPr>
          <w:p>
            <w:r>
              <w:rPr>
                <w:sz w:val="20"/>
              </w:rPr>
              <w:t>6.880</w:t>
            </w:r>
          </w:p>
        </w:tc>
      </w:tr>
      <w:tr>
        <w:tc>
          <w:tcPr>
            <w:tcW w:type="dxa" w:w="2268"/>
          </w:tcPr>
          <w:p>
            <w:r>
              <w:rPr>
                <w:sz w:val="20"/>
              </w:rPr>
              <w:t>nan</w:t>
            </w:r>
          </w:p>
        </w:tc>
        <w:tc>
          <w:tcPr>
            <w:tcW w:type="dxa" w:w="2268"/>
          </w:tcPr>
          <w:p>
            <w:r>
              <w:rPr>
                <w:sz w:val="20"/>
              </w:rPr>
              <w:t>24354.000</w:t>
            </w:r>
          </w:p>
        </w:tc>
        <w:tc>
          <w:tcPr>
            <w:tcW w:type="dxa" w:w="2268"/>
          </w:tcPr>
          <w:p>
            <w:r>
              <w:rPr>
                <w:sz w:val="20"/>
              </w:rPr>
              <w:t>93.120</w:t>
            </w:r>
          </w:p>
        </w:tc>
        <w:tc>
          <w:tcPr>
            <w:tcW w:type="dxa" w:w="2268"/>
          </w:tcPr>
          <w:p>
            <w:r>
              <w:rPr>
                <w:sz w:val="20"/>
              </w:rPr>
              <w:t>100.000</w:t>
            </w:r>
          </w:p>
        </w:tc>
      </w:tr>
    </w:tbl>
    <w:p/>
    <w:p>
      <w:pPr>
        <w:jc w:val="right"/>
      </w:pPr>
      <w:r>
        <w:rPr>
          <w:b w:val="0"/>
          <w:sz w:val="24"/>
        </w:rPr>
        <w:t>يوضح الجدول أعلاه توزيع المستجيبين على متغير Q1A_PAL. يُلاحظ أن أكثر الفئات شيوعاً هي الفئة (nan) بنسبة 93.1%.</w:t>
      </w:r>
    </w:p>
    <w:p>
      <w:pPr>
        <w:jc w:val="right"/>
      </w:pPr>
      <w:r>
        <w:rPr>
          <w:b/>
          <w:color w:val="A23B72"/>
          <w:sz w:val="26"/>
        </w:rPr>
        <w:t>الشكل البياني: توزيع Q1A_PAL</w:t>
      </w:r>
    </w:p>
    <w:p>
      <w:pPr>
        <w:jc w:val="center"/>
      </w:pPr>
      <w:r>
        <w:drawing>
          <wp:inline xmlns:a="http://schemas.openxmlformats.org/drawingml/2006/main" xmlns:pic="http://schemas.openxmlformats.org/drawingml/2006/picture">
            <wp:extent cx="5040000" cy="3005660"/>
            <wp:docPr id="3" name="Picture 3"/>
            <wp:cNvGraphicFramePr>
              <a:graphicFrameLocks noChangeAspect="1"/>
            </wp:cNvGraphicFramePr>
            <a:graphic>
              <a:graphicData uri="http://schemas.openxmlformats.org/drawingml/2006/picture">
                <pic:pic>
                  <pic:nvPicPr>
                    <pic:cNvPr id="0" name="demo_Q1A_PAL_bar.png"/>
                    <pic:cNvPicPr/>
                  </pic:nvPicPr>
                  <pic:blipFill>
                    <a:blip r:embed="rId11"/>
                    <a:stretch>
                      <a:fillRect/>
                    </a:stretch>
                  </pic:blipFill>
                  <pic:spPr>
                    <a:xfrm>
                      <a:off x="0" y="0"/>
                      <a:ext cx="5040000" cy="3005660"/>
                    </a:xfrm>
                    <a:prstGeom prst="rect"/>
                  </pic:spPr>
                </pic:pic>
              </a:graphicData>
            </a:graphic>
          </wp:inline>
        </w:drawing>
      </w:r>
    </w:p>
    <w:p/>
    <w:p>
      <w:pPr>
        <w:jc w:val="right"/>
      </w:pPr>
      <w:r>
        <w:rPr>
          <w:b w:val="0"/>
          <w:sz w:val="24"/>
        </w:rPr>
        <w:t>الشكل أعلاه يُظهر توزيع التكرارات لمتغير Q1A_PAL على شكل أعمدة.</w:t>
      </w:r>
    </w:p>
    <w:p>
      <w:pPr>
        <w:jc w:val="center"/>
      </w:pPr>
      <w:r>
        <w:drawing>
          <wp:inline xmlns:a="http://schemas.openxmlformats.org/drawingml/2006/main" xmlns:pic="http://schemas.openxmlformats.org/drawingml/2006/picture">
            <wp:extent cx="4320000" cy="4424546"/>
            <wp:docPr id="4" name="Picture 4"/>
            <wp:cNvGraphicFramePr>
              <a:graphicFrameLocks noChangeAspect="1"/>
            </wp:cNvGraphicFramePr>
            <a:graphic>
              <a:graphicData uri="http://schemas.openxmlformats.org/drawingml/2006/picture">
                <pic:pic>
                  <pic:nvPicPr>
                    <pic:cNvPr id="0" name="demo_Q1A_PAL_pie.png"/>
                    <pic:cNvPicPr/>
                  </pic:nvPicPr>
                  <pic:blipFill>
                    <a:blip r:embed="rId12"/>
                    <a:stretch>
                      <a:fillRect/>
                    </a:stretch>
                  </pic:blipFill>
                  <pic:spPr>
                    <a:xfrm>
                      <a:off x="0" y="0"/>
                      <a:ext cx="4320000" cy="4424546"/>
                    </a:xfrm>
                    <a:prstGeom prst="rect"/>
                  </pic:spPr>
                </pic:pic>
              </a:graphicData>
            </a:graphic>
          </wp:inline>
        </w:drawing>
      </w:r>
    </w:p>
    <w:p/>
    <w:p>
      <w:pPr>
        <w:jc w:val="right"/>
      </w:pPr>
      <w:r>
        <w:rPr>
          <w:b w:val="0"/>
          <w:sz w:val="24"/>
        </w:rPr>
        <w:t>الشكل الدائري يُظهر النسب المئوية لكل فئة من فئات Q1A_PAL.</w:t>
      </w:r>
    </w:p>
    <w:p>
      <w:pPr>
        <w:jc w:val="right"/>
      </w:pPr>
      <w:r>
        <w:rPr>
          <w:b/>
          <w:color w:val="A23B72"/>
          <w:sz w:val="26"/>
        </w:rPr>
        <w:t>جدول توزيع Q1A_ALG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2E86AB"/>
          </w:tcPr>
          <w:p>
            <w:r>
              <w:rPr>
                <w:b/>
                <w:color w:val="FFFFFF"/>
                <w:sz w:val="20"/>
              </w:rPr>
              <w:t>القيمة</w:t>
            </w:r>
          </w:p>
        </w:tc>
        <w:tc>
          <w:tcPr>
            <w:tcW w:type="dxa" w:w="2268"/>
            <w:shd w:fill="2E86AB"/>
          </w:tcPr>
          <w:p>
            <w:r>
              <w:rPr>
                <w:b/>
                <w:color w:val="FFFFFF"/>
                <w:sz w:val="20"/>
              </w:rPr>
              <w:t>التكرار</w:t>
            </w:r>
          </w:p>
        </w:tc>
        <w:tc>
          <w:tcPr>
            <w:tcW w:type="dxa" w:w="2268"/>
            <w:shd w:fill="2E86AB"/>
          </w:tcPr>
          <w:p>
            <w:r>
              <w:rPr>
                <w:b/>
                <w:color w:val="FFFFFF"/>
                <w:sz w:val="20"/>
              </w:rPr>
              <w:t>النسبة %</w:t>
            </w:r>
          </w:p>
        </w:tc>
        <w:tc>
          <w:tcPr>
            <w:tcW w:type="dxa" w:w="2268"/>
            <w:shd w:fill="2E86AB"/>
          </w:tcPr>
          <w:p>
            <w:r>
              <w:rPr>
                <w:b/>
                <w:color w:val="FFFFFF"/>
                <w:sz w:val="20"/>
              </w:rPr>
              <w:t>النسبة التراكمية %</w:t>
            </w:r>
          </w:p>
        </w:tc>
      </w:tr>
      <w:tr>
        <w:tc>
          <w:tcPr>
            <w:tcW w:type="dxa" w:w="2268"/>
          </w:tcPr>
          <w:p>
            <w:r>
              <w:rPr>
                <w:sz w:val="20"/>
              </w:rPr>
              <w:t>1.000</w:t>
            </w:r>
          </w:p>
        </w:tc>
        <w:tc>
          <w:tcPr>
            <w:tcW w:type="dxa" w:w="2268"/>
          </w:tcPr>
          <w:p>
            <w:r>
              <w:rPr>
                <w:sz w:val="20"/>
              </w:rPr>
              <w:t>220.000</w:t>
            </w:r>
          </w:p>
        </w:tc>
        <w:tc>
          <w:tcPr>
            <w:tcW w:type="dxa" w:w="2268"/>
          </w:tcPr>
          <w:p>
            <w:r>
              <w:rPr>
                <w:sz w:val="20"/>
              </w:rPr>
              <w:t>0.840</w:t>
            </w:r>
          </w:p>
        </w:tc>
        <w:tc>
          <w:tcPr>
            <w:tcW w:type="dxa" w:w="2268"/>
          </w:tcPr>
          <w:p>
            <w:r>
              <w:rPr>
                <w:sz w:val="20"/>
              </w:rPr>
              <w:t>0.840</w:t>
            </w:r>
          </w:p>
        </w:tc>
      </w:tr>
      <w:tr>
        <w:tc>
          <w:tcPr>
            <w:tcW w:type="dxa" w:w="2268"/>
          </w:tcPr>
          <w:p>
            <w:r>
              <w:rPr>
                <w:sz w:val="20"/>
              </w:rPr>
              <w:t>2.000</w:t>
            </w:r>
          </w:p>
        </w:tc>
        <w:tc>
          <w:tcPr>
            <w:tcW w:type="dxa" w:w="2268"/>
          </w:tcPr>
          <w:p>
            <w:r>
              <w:rPr>
                <w:sz w:val="20"/>
              </w:rPr>
              <w:t>406.000</w:t>
            </w:r>
          </w:p>
        </w:tc>
        <w:tc>
          <w:tcPr>
            <w:tcW w:type="dxa" w:w="2268"/>
          </w:tcPr>
          <w:p>
            <w:r>
              <w:rPr>
                <w:sz w:val="20"/>
              </w:rPr>
              <w:t>1.550</w:t>
            </w:r>
          </w:p>
        </w:tc>
        <w:tc>
          <w:tcPr>
            <w:tcW w:type="dxa" w:w="2268"/>
          </w:tcPr>
          <w:p>
            <w:r>
              <w:rPr>
                <w:sz w:val="20"/>
              </w:rPr>
              <w:t>2.390</w:t>
            </w:r>
          </w:p>
        </w:tc>
      </w:tr>
      <w:tr>
        <w:tc>
          <w:tcPr>
            <w:tcW w:type="dxa" w:w="2268"/>
          </w:tcPr>
          <w:p>
            <w:r>
              <w:rPr>
                <w:sz w:val="20"/>
              </w:rPr>
              <w:t>3.000</w:t>
            </w:r>
          </w:p>
        </w:tc>
        <w:tc>
          <w:tcPr>
            <w:tcW w:type="dxa" w:w="2268"/>
          </w:tcPr>
          <w:p>
            <w:r>
              <w:rPr>
                <w:sz w:val="20"/>
              </w:rPr>
              <w:t>881.000</w:t>
            </w:r>
          </w:p>
        </w:tc>
        <w:tc>
          <w:tcPr>
            <w:tcW w:type="dxa" w:w="2268"/>
          </w:tcPr>
          <w:p>
            <w:r>
              <w:rPr>
                <w:sz w:val="20"/>
              </w:rPr>
              <w:t>3.370</w:t>
            </w:r>
          </w:p>
        </w:tc>
        <w:tc>
          <w:tcPr>
            <w:tcW w:type="dxa" w:w="2268"/>
          </w:tcPr>
          <w:p>
            <w:r>
              <w:rPr>
                <w:sz w:val="20"/>
              </w:rPr>
              <w:t>5.760</w:t>
            </w:r>
          </w:p>
        </w:tc>
      </w:tr>
      <w:tr>
        <w:tc>
          <w:tcPr>
            <w:tcW w:type="dxa" w:w="2268"/>
          </w:tcPr>
          <w:p>
            <w:r>
              <w:rPr>
                <w:sz w:val="20"/>
              </w:rPr>
              <w:t>4.000</w:t>
            </w:r>
          </w:p>
        </w:tc>
        <w:tc>
          <w:tcPr>
            <w:tcW w:type="dxa" w:w="2268"/>
          </w:tcPr>
          <w:p>
            <w:r>
              <w:rPr>
                <w:sz w:val="20"/>
              </w:rPr>
              <w:t>568.000</w:t>
            </w:r>
          </w:p>
        </w:tc>
        <w:tc>
          <w:tcPr>
            <w:tcW w:type="dxa" w:w="2268"/>
          </w:tcPr>
          <w:p>
            <w:r>
              <w:rPr>
                <w:sz w:val="20"/>
              </w:rPr>
              <w:t>2.170</w:t>
            </w:r>
          </w:p>
        </w:tc>
        <w:tc>
          <w:tcPr>
            <w:tcW w:type="dxa" w:w="2268"/>
          </w:tcPr>
          <w:p>
            <w:r>
              <w:rPr>
                <w:sz w:val="20"/>
              </w:rPr>
              <w:t>7.930</w:t>
            </w:r>
          </w:p>
        </w:tc>
      </w:tr>
      <w:tr>
        <w:tc>
          <w:tcPr>
            <w:tcW w:type="dxa" w:w="2268"/>
          </w:tcPr>
          <w:p>
            <w:r>
              <w:rPr>
                <w:sz w:val="20"/>
              </w:rPr>
              <w:t>5.000</w:t>
            </w:r>
          </w:p>
        </w:tc>
        <w:tc>
          <w:tcPr>
            <w:tcW w:type="dxa" w:w="2268"/>
          </w:tcPr>
          <w:p>
            <w:r>
              <w:rPr>
                <w:sz w:val="20"/>
              </w:rPr>
              <w:t>87.000</w:t>
            </w:r>
          </w:p>
        </w:tc>
        <w:tc>
          <w:tcPr>
            <w:tcW w:type="dxa" w:w="2268"/>
          </w:tcPr>
          <w:p>
            <w:r>
              <w:rPr>
                <w:sz w:val="20"/>
              </w:rPr>
              <w:t>0.330</w:t>
            </w:r>
          </w:p>
        </w:tc>
        <w:tc>
          <w:tcPr>
            <w:tcW w:type="dxa" w:w="2268"/>
          </w:tcPr>
          <w:p>
            <w:r>
              <w:rPr>
                <w:sz w:val="20"/>
              </w:rPr>
              <w:t>8.260</w:t>
            </w:r>
          </w:p>
        </w:tc>
      </w:tr>
      <w:tr>
        <w:tc>
          <w:tcPr>
            <w:tcW w:type="dxa" w:w="2268"/>
          </w:tcPr>
          <w:p>
            <w:r>
              <w:rPr>
                <w:sz w:val="20"/>
              </w:rPr>
              <w:t>nan</w:t>
            </w:r>
          </w:p>
        </w:tc>
        <w:tc>
          <w:tcPr>
            <w:tcW w:type="dxa" w:w="2268"/>
          </w:tcPr>
          <w:p>
            <w:r>
              <w:rPr>
                <w:sz w:val="20"/>
              </w:rPr>
              <w:t>23992.000</w:t>
            </w:r>
          </w:p>
        </w:tc>
        <w:tc>
          <w:tcPr>
            <w:tcW w:type="dxa" w:w="2268"/>
          </w:tcPr>
          <w:p>
            <w:r>
              <w:rPr>
                <w:sz w:val="20"/>
              </w:rPr>
              <w:t>91.730</w:t>
            </w:r>
          </w:p>
        </w:tc>
        <w:tc>
          <w:tcPr>
            <w:tcW w:type="dxa" w:w="2268"/>
          </w:tcPr>
          <w:p>
            <w:r>
              <w:rPr>
                <w:sz w:val="20"/>
              </w:rPr>
              <w:t>99.990</w:t>
            </w:r>
          </w:p>
        </w:tc>
      </w:tr>
    </w:tbl>
    <w:p/>
    <w:p>
      <w:pPr>
        <w:jc w:val="right"/>
      </w:pPr>
      <w:r>
        <w:rPr>
          <w:b w:val="0"/>
          <w:sz w:val="24"/>
        </w:rPr>
        <w:t>يوضح الجدول أعلاه توزيع المستجيبين على متغير Q1A_ALG. يُلاحظ أن أكثر الفئات شيوعاً هي الفئة (nan) بنسبة 91.7%.</w:t>
      </w:r>
    </w:p>
    <w:p>
      <w:pPr>
        <w:jc w:val="right"/>
      </w:pPr>
      <w:r>
        <w:rPr>
          <w:b/>
          <w:color w:val="A23B72"/>
          <w:sz w:val="26"/>
        </w:rPr>
        <w:t>الشكل البياني: توزيع Q1A_ALG</w:t>
      </w:r>
    </w:p>
    <w:p>
      <w:pPr>
        <w:jc w:val="center"/>
      </w:pPr>
      <w:r>
        <w:drawing>
          <wp:inline xmlns:a="http://schemas.openxmlformats.org/drawingml/2006/main" xmlns:pic="http://schemas.openxmlformats.org/drawingml/2006/picture">
            <wp:extent cx="5040000" cy="3003636"/>
            <wp:docPr id="5" name="Picture 5"/>
            <wp:cNvGraphicFramePr>
              <a:graphicFrameLocks noChangeAspect="1"/>
            </wp:cNvGraphicFramePr>
            <a:graphic>
              <a:graphicData uri="http://schemas.openxmlformats.org/drawingml/2006/picture">
                <pic:pic>
                  <pic:nvPicPr>
                    <pic:cNvPr id="0" name="demo_Q1A_ALG_bar.png"/>
                    <pic:cNvPicPr/>
                  </pic:nvPicPr>
                  <pic:blipFill>
                    <a:blip r:embed="rId13"/>
                    <a:stretch>
                      <a:fillRect/>
                    </a:stretch>
                  </pic:blipFill>
                  <pic:spPr>
                    <a:xfrm>
                      <a:off x="0" y="0"/>
                      <a:ext cx="5040000" cy="3003636"/>
                    </a:xfrm>
                    <a:prstGeom prst="rect"/>
                  </pic:spPr>
                </pic:pic>
              </a:graphicData>
            </a:graphic>
          </wp:inline>
        </w:drawing>
      </w:r>
    </w:p>
    <w:p/>
    <w:p>
      <w:pPr>
        <w:jc w:val="right"/>
      </w:pPr>
      <w:r>
        <w:rPr>
          <w:b w:val="0"/>
          <w:sz w:val="24"/>
        </w:rPr>
        <w:t>الشكل أعلاه يُظهر توزيع التكرارات لمتغير Q1A_ALG على شكل أعمدة.</w:t>
      </w:r>
    </w:p>
    <w:p>
      <w:pPr>
        <w:jc w:val="center"/>
      </w:pPr>
      <w:r>
        <w:drawing>
          <wp:inline xmlns:a="http://schemas.openxmlformats.org/drawingml/2006/main" xmlns:pic="http://schemas.openxmlformats.org/drawingml/2006/picture">
            <wp:extent cx="4320000" cy="4424546"/>
            <wp:docPr id="6" name="Picture 6"/>
            <wp:cNvGraphicFramePr>
              <a:graphicFrameLocks noChangeAspect="1"/>
            </wp:cNvGraphicFramePr>
            <a:graphic>
              <a:graphicData uri="http://schemas.openxmlformats.org/drawingml/2006/picture">
                <pic:pic>
                  <pic:nvPicPr>
                    <pic:cNvPr id="0" name="demo_Q1A_ALG_pie.png"/>
                    <pic:cNvPicPr/>
                  </pic:nvPicPr>
                  <pic:blipFill>
                    <a:blip r:embed="rId14"/>
                    <a:stretch>
                      <a:fillRect/>
                    </a:stretch>
                  </pic:blipFill>
                  <pic:spPr>
                    <a:xfrm>
                      <a:off x="0" y="0"/>
                      <a:ext cx="4320000" cy="4424546"/>
                    </a:xfrm>
                    <a:prstGeom prst="rect"/>
                  </pic:spPr>
                </pic:pic>
              </a:graphicData>
            </a:graphic>
          </wp:inline>
        </w:drawing>
      </w:r>
    </w:p>
    <w:p/>
    <w:p>
      <w:pPr>
        <w:jc w:val="right"/>
      </w:pPr>
      <w:r>
        <w:rPr>
          <w:b w:val="0"/>
          <w:sz w:val="24"/>
        </w:rPr>
        <w:t>الشكل الدائري يُظهر النسب المئوية لكل فئة من فئات Q1A_ALG.</w:t>
      </w:r>
    </w:p>
    <w:p>
      <w:pPr>
        <w:jc w:val="right"/>
      </w:pPr>
      <w:r>
        <w:rPr>
          <w:b/>
          <w:color w:val="A23B72"/>
          <w:sz w:val="26"/>
        </w:rPr>
        <w:t>جدول توزيع Q1A_LIB</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2E86AB"/>
          </w:tcPr>
          <w:p>
            <w:r>
              <w:rPr>
                <w:b/>
                <w:color w:val="FFFFFF"/>
                <w:sz w:val="20"/>
              </w:rPr>
              <w:t>القيمة</w:t>
            </w:r>
          </w:p>
        </w:tc>
        <w:tc>
          <w:tcPr>
            <w:tcW w:type="dxa" w:w="2268"/>
            <w:shd w:fill="2E86AB"/>
          </w:tcPr>
          <w:p>
            <w:r>
              <w:rPr>
                <w:b/>
                <w:color w:val="FFFFFF"/>
                <w:sz w:val="20"/>
              </w:rPr>
              <w:t>التكرار</w:t>
            </w:r>
          </w:p>
        </w:tc>
        <w:tc>
          <w:tcPr>
            <w:tcW w:type="dxa" w:w="2268"/>
            <w:shd w:fill="2E86AB"/>
          </w:tcPr>
          <w:p>
            <w:r>
              <w:rPr>
                <w:b/>
                <w:color w:val="FFFFFF"/>
                <w:sz w:val="20"/>
              </w:rPr>
              <w:t>النسبة %</w:t>
            </w:r>
          </w:p>
        </w:tc>
        <w:tc>
          <w:tcPr>
            <w:tcW w:type="dxa" w:w="2268"/>
            <w:shd w:fill="2E86AB"/>
          </w:tcPr>
          <w:p>
            <w:r>
              <w:rPr>
                <w:b/>
                <w:color w:val="FFFFFF"/>
                <w:sz w:val="20"/>
              </w:rPr>
              <w:t>النسبة التراكمية %</w:t>
            </w:r>
          </w:p>
        </w:tc>
      </w:tr>
      <w:tr>
        <w:tc>
          <w:tcPr>
            <w:tcW w:type="dxa" w:w="2268"/>
          </w:tcPr>
          <w:p>
            <w:r>
              <w:rPr>
                <w:sz w:val="20"/>
              </w:rPr>
              <w:t>1101.000</w:t>
            </w:r>
          </w:p>
        </w:tc>
        <w:tc>
          <w:tcPr>
            <w:tcW w:type="dxa" w:w="2268"/>
          </w:tcPr>
          <w:p>
            <w:r>
              <w:rPr>
                <w:sz w:val="20"/>
              </w:rPr>
              <w:t>659.000</w:t>
            </w:r>
          </w:p>
        </w:tc>
        <w:tc>
          <w:tcPr>
            <w:tcW w:type="dxa" w:w="2268"/>
          </w:tcPr>
          <w:p>
            <w:r>
              <w:rPr>
                <w:sz w:val="20"/>
              </w:rPr>
              <w:t>2.520</w:t>
            </w:r>
          </w:p>
        </w:tc>
        <w:tc>
          <w:tcPr>
            <w:tcW w:type="dxa" w:w="2268"/>
          </w:tcPr>
          <w:p>
            <w:r>
              <w:rPr>
                <w:sz w:val="20"/>
              </w:rPr>
              <w:t>2.520</w:t>
            </w:r>
          </w:p>
        </w:tc>
      </w:tr>
      <w:tr>
        <w:tc>
          <w:tcPr>
            <w:tcW w:type="dxa" w:w="2268"/>
          </w:tcPr>
          <w:p>
            <w:r>
              <w:rPr>
                <w:sz w:val="20"/>
              </w:rPr>
              <w:t>1102.000</w:t>
            </w:r>
          </w:p>
        </w:tc>
        <w:tc>
          <w:tcPr>
            <w:tcW w:type="dxa" w:w="2268"/>
          </w:tcPr>
          <w:p>
            <w:r>
              <w:rPr>
                <w:sz w:val="20"/>
              </w:rPr>
              <w:t>187.000</w:t>
            </w:r>
          </w:p>
        </w:tc>
        <w:tc>
          <w:tcPr>
            <w:tcW w:type="dxa" w:w="2268"/>
          </w:tcPr>
          <w:p>
            <w:r>
              <w:rPr>
                <w:sz w:val="20"/>
              </w:rPr>
              <w:t>0.710</w:t>
            </w:r>
          </w:p>
        </w:tc>
        <w:tc>
          <w:tcPr>
            <w:tcW w:type="dxa" w:w="2268"/>
          </w:tcPr>
          <w:p>
            <w:r>
              <w:rPr>
                <w:sz w:val="20"/>
              </w:rPr>
              <w:t>3.230</w:t>
            </w:r>
          </w:p>
        </w:tc>
      </w:tr>
      <w:tr>
        <w:tc>
          <w:tcPr>
            <w:tcW w:type="dxa" w:w="2268"/>
          </w:tcPr>
          <w:p>
            <w:r>
              <w:rPr>
                <w:sz w:val="20"/>
              </w:rPr>
              <w:t>1103.000</w:t>
            </w:r>
          </w:p>
        </w:tc>
        <w:tc>
          <w:tcPr>
            <w:tcW w:type="dxa" w:w="2268"/>
          </w:tcPr>
          <w:p>
            <w:r>
              <w:rPr>
                <w:sz w:val="20"/>
              </w:rPr>
              <w:t>1659.000</w:t>
            </w:r>
          </w:p>
        </w:tc>
        <w:tc>
          <w:tcPr>
            <w:tcW w:type="dxa" w:w="2268"/>
          </w:tcPr>
          <w:p>
            <w:r>
              <w:rPr>
                <w:sz w:val="20"/>
              </w:rPr>
              <w:t>6.340</w:t>
            </w:r>
          </w:p>
        </w:tc>
        <w:tc>
          <w:tcPr>
            <w:tcW w:type="dxa" w:w="2268"/>
          </w:tcPr>
          <w:p>
            <w:r>
              <w:rPr>
                <w:sz w:val="20"/>
              </w:rPr>
              <w:t>9.570</w:t>
            </w:r>
          </w:p>
        </w:tc>
      </w:tr>
      <w:tr>
        <w:tc>
          <w:tcPr>
            <w:tcW w:type="dxa" w:w="2268"/>
          </w:tcPr>
          <w:p>
            <w:r>
              <w:rPr>
                <w:sz w:val="20"/>
              </w:rPr>
              <w:t>nan</w:t>
            </w:r>
          </w:p>
        </w:tc>
        <w:tc>
          <w:tcPr>
            <w:tcW w:type="dxa" w:w="2268"/>
          </w:tcPr>
          <w:p>
            <w:r>
              <w:rPr>
                <w:sz w:val="20"/>
              </w:rPr>
              <w:t>23649.000</w:t>
            </w:r>
          </w:p>
        </w:tc>
        <w:tc>
          <w:tcPr>
            <w:tcW w:type="dxa" w:w="2268"/>
          </w:tcPr>
          <w:p>
            <w:r>
              <w:rPr>
                <w:sz w:val="20"/>
              </w:rPr>
              <w:t>90.420</w:t>
            </w:r>
          </w:p>
        </w:tc>
        <w:tc>
          <w:tcPr>
            <w:tcW w:type="dxa" w:w="2268"/>
          </w:tcPr>
          <w:p>
            <w:r>
              <w:rPr>
                <w:sz w:val="20"/>
              </w:rPr>
              <w:t>99.990</w:t>
            </w:r>
          </w:p>
        </w:tc>
      </w:tr>
    </w:tbl>
    <w:p/>
    <w:p>
      <w:pPr>
        <w:jc w:val="right"/>
      </w:pPr>
      <w:r>
        <w:rPr>
          <w:b w:val="0"/>
          <w:sz w:val="24"/>
        </w:rPr>
        <w:t>يوضح الجدول أعلاه توزيع المستجيبين على متغير Q1A_LIB. يُلاحظ أن أكثر الفئات شيوعاً هي الفئة (nan) بنسبة 90.4%.</w:t>
      </w:r>
    </w:p>
    <w:p>
      <w:pPr>
        <w:jc w:val="right"/>
      </w:pPr>
      <w:r>
        <w:rPr>
          <w:b/>
          <w:color w:val="A23B72"/>
          <w:sz w:val="26"/>
        </w:rPr>
        <w:t>الشكل البياني: توزيع Q1A_LIB</w:t>
      </w:r>
    </w:p>
    <w:p>
      <w:pPr>
        <w:jc w:val="center"/>
      </w:pPr>
      <w:r>
        <w:drawing>
          <wp:inline xmlns:a="http://schemas.openxmlformats.org/drawingml/2006/main" xmlns:pic="http://schemas.openxmlformats.org/drawingml/2006/picture">
            <wp:extent cx="5040000" cy="3002264"/>
            <wp:docPr id="7" name="Picture 7"/>
            <wp:cNvGraphicFramePr>
              <a:graphicFrameLocks noChangeAspect="1"/>
            </wp:cNvGraphicFramePr>
            <a:graphic>
              <a:graphicData uri="http://schemas.openxmlformats.org/drawingml/2006/picture">
                <pic:pic>
                  <pic:nvPicPr>
                    <pic:cNvPr id="0" name="demo_Q1A_LIB_bar.png"/>
                    <pic:cNvPicPr/>
                  </pic:nvPicPr>
                  <pic:blipFill>
                    <a:blip r:embed="rId15"/>
                    <a:stretch>
                      <a:fillRect/>
                    </a:stretch>
                  </pic:blipFill>
                  <pic:spPr>
                    <a:xfrm>
                      <a:off x="0" y="0"/>
                      <a:ext cx="5040000" cy="3002264"/>
                    </a:xfrm>
                    <a:prstGeom prst="rect"/>
                  </pic:spPr>
                </pic:pic>
              </a:graphicData>
            </a:graphic>
          </wp:inline>
        </w:drawing>
      </w:r>
    </w:p>
    <w:p/>
    <w:p>
      <w:pPr>
        <w:jc w:val="right"/>
      </w:pPr>
      <w:r>
        <w:rPr>
          <w:b w:val="0"/>
          <w:sz w:val="24"/>
        </w:rPr>
        <w:t>الشكل أعلاه يُظهر توزيع التكرارات لمتغير Q1A_LIB على شكل أعمدة.</w:t>
      </w:r>
    </w:p>
    <w:p>
      <w:pPr>
        <w:jc w:val="center"/>
      </w:pPr>
      <w:r>
        <w:drawing>
          <wp:inline xmlns:a="http://schemas.openxmlformats.org/drawingml/2006/main" xmlns:pic="http://schemas.openxmlformats.org/drawingml/2006/picture">
            <wp:extent cx="4320000" cy="4424546"/>
            <wp:docPr id="8" name="Picture 8"/>
            <wp:cNvGraphicFramePr>
              <a:graphicFrameLocks noChangeAspect="1"/>
            </wp:cNvGraphicFramePr>
            <a:graphic>
              <a:graphicData uri="http://schemas.openxmlformats.org/drawingml/2006/picture">
                <pic:pic>
                  <pic:nvPicPr>
                    <pic:cNvPr id="0" name="demo_Q1A_LIB_pie.png"/>
                    <pic:cNvPicPr/>
                  </pic:nvPicPr>
                  <pic:blipFill>
                    <a:blip r:embed="rId16"/>
                    <a:stretch>
                      <a:fillRect/>
                    </a:stretch>
                  </pic:blipFill>
                  <pic:spPr>
                    <a:xfrm>
                      <a:off x="0" y="0"/>
                      <a:ext cx="4320000" cy="4424546"/>
                    </a:xfrm>
                    <a:prstGeom prst="rect"/>
                  </pic:spPr>
                </pic:pic>
              </a:graphicData>
            </a:graphic>
          </wp:inline>
        </w:drawing>
      </w:r>
    </w:p>
    <w:p/>
    <w:p>
      <w:pPr>
        <w:jc w:val="right"/>
      </w:pPr>
      <w:r>
        <w:rPr>
          <w:b w:val="0"/>
          <w:sz w:val="24"/>
        </w:rPr>
        <w:t>الشكل الدائري يُظهر النسب المئوية لكل فئة من فئات Q1A_LIB.</w:t>
      </w:r>
    </w:p>
    <w:p>
      <w:pPr>
        <w:jc w:val="right"/>
      </w:pPr>
      <w:r>
        <w:rPr>
          <w:b/>
          <w:color w:val="A23B72"/>
          <w:sz w:val="26"/>
        </w:rPr>
        <w:t>جدول توزيع Q1002</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2E86AB"/>
          </w:tcPr>
          <w:p>
            <w:r>
              <w:rPr>
                <w:b/>
                <w:color w:val="FFFFFF"/>
                <w:sz w:val="20"/>
              </w:rPr>
              <w:t>القيمة</w:t>
            </w:r>
          </w:p>
        </w:tc>
        <w:tc>
          <w:tcPr>
            <w:tcW w:type="dxa" w:w="2268"/>
            <w:shd w:fill="2E86AB"/>
          </w:tcPr>
          <w:p>
            <w:r>
              <w:rPr>
                <w:b/>
                <w:color w:val="FFFFFF"/>
                <w:sz w:val="20"/>
              </w:rPr>
              <w:t>التكرار</w:t>
            </w:r>
          </w:p>
        </w:tc>
        <w:tc>
          <w:tcPr>
            <w:tcW w:type="dxa" w:w="2268"/>
            <w:shd w:fill="2E86AB"/>
          </w:tcPr>
          <w:p>
            <w:r>
              <w:rPr>
                <w:b/>
                <w:color w:val="FFFFFF"/>
                <w:sz w:val="20"/>
              </w:rPr>
              <w:t>النسبة %</w:t>
            </w:r>
          </w:p>
        </w:tc>
        <w:tc>
          <w:tcPr>
            <w:tcW w:type="dxa" w:w="2268"/>
            <w:shd w:fill="2E86AB"/>
          </w:tcPr>
          <w:p>
            <w:r>
              <w:rPr>
                <w:b/>
                <w:color w:val="FFFFFF"/>
                <w:sz w:val="20"/>
              </w:rPr>
              <w:t>النسبة التراكمية %</w:t>
            </w:r>
          </w:p>
        </w:tc>
      </w:tr>
      <w:tr>
        <w:tc>
          <w:tcPr>
            <w:tcW w:type="dxa" w:w="2268"/>
          </w:tcPr>
          <w:p>
            <w:r>
              <w:rPr>
                <w:sz w:val="20"/>
              </w:rPr>
              <w:t>1.000</w:t>
            </w:r>
          </w:p>
        </w:tc>
        <w:tc>
          <w:tcPr>
            <w:tcW w:type="dxa" w:w="2268"/>
          </w:tcPr>
          <w:p>
            <w:r>
              <w:rPr>
                <w:sz w:val="20"/>
              </w:rPr>
              <w:t>13217.000</w:t>
            </w:r>
          </w:p>
        </w:tc>
        <w:tc>
          <w:tcPr>
            <w:tcW w:type="dxa" w:w="2268"/>
          </w:tcPr>
          <w:p>
            <w:r>
              <w:rPr>
                <w:sz w:val="20"/>
              </w:rPr>
              <w:t>50.540</w:t>
            </w:r>
          </w:p>
        </w:tc>
        <w:tc>
          <w:tcPr>
            <w:tcW w:type="dxa" w:w="2268"/>
          </w:tcPr>
          <w:p>
            <w:r>
              <w:rPr>
                <w:sz w:val="20"/>
              </w:rPr>
              <w:t>50.540</w:t>
            </w:r>
          </w:p>
        </w:tc>
      </w:tr>
      <w:tr>
        <w:tc>
          <w:tcPr>
            <w:tcW w:type="dxa" w:w="2268"/>
          </w:tcPr>
          <w:p>
            <w:r>
              <w:rPr>
                <w:sz w:val="20"/>
              </w:rPr>
              <w:t>2.000</w:t>
            </w:r>
          </w:p>
        </w:tc>
        <w:tc>
          <w:tcPr>
            <w:tcW w:type="dxa" w:w="2268"/>
          </w:tcPr>
          <w:p>
            <w:r>
              <w:rPr>
                <w:sz w:val="20"/>
              </w:rPr>
              <w:t>12937.000</w:t>
            </w:r>
          </w:p>
        </w:tc>
        <w:tc>
          <w:tcPr>
            <w:tcW w:type="dxa" w:w="2268"/>
          </w:tcPr>
          <w:p>
            <w:r>
              <w:rPr>
                <w:sz w:val="20"/>
              </w:rPr>
              <w:t>49.460</w:t>
            </w:r>
          </w:p>
        </w:tc>
        <w:tc>
          <w:tcPr>
            <w:tcW w:type="dxa" w:w="2268"/>
          </w:tcPr>
          <w:p>
            <w:r>
              <w:rPr>
                <w:sz w:val="20"/>
              </w:rPr>
              <w:t>100.000</w:t>
            </w:r>
          </w:p>
        </w:tc>
      </w:tr>
    </w:tbl>
    <w:p/>
    <w:p>
      <w:pPr>
        <w:jc w:val="right"/>
      </w:pPr>
      <w:r>
        <w:rPr>
          <w:b w:val="0"/>
          <w:sz w:val="24"/>
        </w:rPr>
        <w:t>يوضح الجدول أعلاه توزيع المستجيبين على متغير Q1002. يُلاحظ أن أكثر الفئات شيوعاً هي الفئة (1) بنسبة 50.5%.</w:t>
      </w:r>
    </w:p>
    <w:p>
      <w:pPr>
        <w:jc w:val="right"/>
      </w:pPr>
      <w:r>
        <w:rPr>
          <w:b/>
          <w:color w:val="A23B72"/>
          <w:sz w:val="26"/>
        </w:rPr>
        <w:t>الشكل البياني: توزيع Q1002</w:t>
      </w:r>
    </w:p>
    <w:p>
      <w:pPr>
        <w:jc w:val="center"/>
      </w:pPr>
      <w:r>
        <w:drawing>
          <wp:inline xmlns:a="http://schemas.openxmlformats.org/drawingml/2006/main" xmlns:pic="http://schemas.openxmlformats.org/drawingml/2006/picture">
            <wp:extent cx="5040000" cy="3000242"/>
            <wp:docPr id="9" name="Picture 9"/>
            <wp:cNvGraphicFramePr>
              <a:graphicFrameLocks noChangeAspect="1"/>
            </wp:cNvGraphicFramePr>
            <a:graphic>
              <a:graphicData uri="http://schemas.openxmlformats.org/drawingml/2006/picture">
                <pic:pic>
                  <pic:nvPicPr>
                    <pic:cNvPr id="0" name="demo_Q1002_bar.png"/>
                    <pic:cNvPicPr/>
                  </pic:nvPicPr>
                  <pic:blipFill>
                    <a:blip r:embed="rId17"/>
                    <a:stretch>
                      <a:fillRect/>
                    </a:stretch>
                  </pic:blipFill>
                  <pic:spPr>
                    <a:xfrm>
                      <a:off x="0" y="0"/>
                      <a:ext cx="5040000" cy="3000242"/>
                    </a:xfrm>
                    <a:prstGeom prst="rect"/>
                  </pic:spPr>
                </pic:pic>
              </a:graphicData>
            </a:graphic>
          </wp:inline>
        </w:drawing>
      </w:r>
    </w:p>
    <w:p/>
    <w:p>
      <w:pPr>
        <w:jc w:val="right"/>
      </w:pPr>
      <w:r>
        <w:rPr>
          <w:b w:val="0"/>
          <w:sz w:val="24"/>
        </w:rPr>
        <w:t>الشكل أعلاه يُظهر توزيع التكرارات لمتغير Q1002 على شكل أعمدة.</w:t>
      </w:r>
    </w:p>
    <w:p>
      <w:pPr>
        <w:jc w:val="center"/>
      </w:pPr>
      <w:r>
        <w:drawing>
          <wp:inline xmlns:a="http://schemas.openxmlformats.org/drawingml/2006/main" xmlns:pic="http://schemas.openxmlformats.org/drawingml/2006/picture">
            <wp:extent cx="4320000" cy="4424546"/>
            <wp:docPr id="10" name="Picture 10"/>
            <wp:cNvGraphicFramePr>
              <a:graphicFrameLocks noChangeAspect="1"/>
            </wp:cNvGraphicFramePr>
            <a:graphic>
              <a:graphicData uri="http://schemas.openxmlformats.org/drawingml/2006/picture">
                <pic:pic>
                  <pic:nvPicPr>
                    <pic:cNvPr id="0" name="demo_Q1002_pie.png"/>
                    <pic:cNvPicPr/>
                  </pic:nvPicPr>
                  <pic:blipFill>
                    <a:blip r:embed="rId18"/>
                    <a:stretch>
                      <a:fillRect/>
                    </a:stretch>
                  </pic:blipFill>
                  <pic:spPr>
                    <a:xfrm>
                      <a:off x="0" y="0"/>
                      <a:ext cx="4320000" cy="4424546"/>
                    </a:xfrm>
                    <a:prstGeom prst="rect"/>
                  </pic:spPr>
                </pic:pic>
              </a:graphicData>
            </a:graphic>
          </wp:inline>
        </w:drawing>
      </w:r>
    </w:p>
    <w:p/>
    <w:p>
      <w:pPr>
        <w:jc w:val="right"/>
      </w:pPr>
      <w:r>
        <w:rPr>
          <w:b w:val="0"/>
          <w:sz w:val="24"/>
        </w:rPr>
        <w:t>الشكل الدائري يُظهر النسب المئوية لكل فئة من فئات Q1002.</w:t>
      </w:r>
    </w:p>
    <w:p>
      <w:pPr>
        <w:jc w:val="right"/>
      </w:pPr>
      <w:r>
        <w:rPr>
          <w:b/>
          <w:color w:val="A23B72"/>
          <w:sz w:val="26"/>
        </w:rPr>
        <w:t>جدول توزيع Q16ACOVID19_1</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2E86AB"/>
          </w:tcPr>
          <w:p>
            <w:r>
              <w:rPr>
                <w:b/>
                <w:color w:val="FFFFFF"/>
                <w:sz w:val="20"/>
              </w:rPr>
              <w:t>القيمة</w:t>
            </w:r>
          </w:p>
        </w:tc>
        <w:tc>
          <w:tcPr>
            <w:tcW w:type="dxa" w:w="2268"/>
            <w:shd w:fill="2E86AB"/>
          </w:tcPr>
          <w:p>
            <w:r>
              <w:rPr>
                <w:b/>
                <w:color w:val="FFFFFF"/>
                <w:sz w:val="20"/>
              </w:rPr>
              <w:t>التكرار</w:t>
            </w:r>
          </w:p>
        </w:tc>
        <w:tc>
          <w:tcPr>
            <w:tcW w:type="dxa" w:w="2268"/>
            <w:shd w:fill="2E86AB"/>
          </w:tcPr>
          <w:p>
            <w:r>
              <w:rPr>
                <w:b/>
                <w:color w:val="FFFFFF"/>
                <w:sz w:val="20"/>
              </w:rPr>
              <w:t>النسبة %</w:t>
            </w:r>
          </w:p>
        </w:tc>
        <w:tc>
          <w:tcPr>
            <w:tcW w:type="dxa" w:w="2268"/>
            <w:shd w:fill="2E86AB"/>
          </w:tcPr>
          <w:p>
            <w:r>
              <w:rPr>
                <w:b/>
                <w:color w:val="FFFFFF"/>
                <w:sz w:val="20"/>
              </w:rPr>
              <w:t>النسبة التراكمية %</w:t>
            </w:r>
          </w:p>
        </w:tc>
      </w:tr>
      <w:tr>
        <w:tc>
          <w:tcPr>
            <w:tcW w:type="dxa" w:w="2268"/>
          </w:tcPr>
          <w:p>
            <w:r>
              <w:rPr>
                <w:sz w:val="20"/>
              </w:rPr>
              <w:t>0.000</w:t>
            </w:r>
          </w:p>
        </w:tc>
        <w:tc>
          <w:tcPr>
            <w:tcW w:type="dxa" w:w="2268"/>
          </w:tcPr>
          <w:p>
            <w:r>
              <w:rPr>
                <w:sz w:val="20"/>
              </w:rPr>
              <w:t>4031.000</w:t>
            </w:r>
          </w:p>
        </w:tc>
        <w:tc>
          <w:tcPr>
            <w:tcW w:type="dxa" w:w="2268"/>
          </w:tcPr>
          <w:p>
            <w:r>
              <w:rPr>
                <w:sz w:val="20"/>
              </w:rPr>
              <w:t>15.410</w:t>
            </w:r>
          </w:p>
        </w:tc>
        <w:tc>
          <w:tcPr>
            <w:tcW w:type="dxa" w:w="2268"/>
          </w:tcPr>
          <w:p>
            <w:r>
              <w:rPr>
                <w:sz w:val="20"/>
              </w:rPr>
              <w:t>15.410</w:t>
            </w:r>
          </w:p>
        </w:tc>
      </w:tr>
      <w:tr>
        <w:tc>
          <w:tcPr>
            <w:tcW w:type="dxa" w:w="2268"/>
          </w:tcPr>
          <w:p>
            <w:r>
              <w:rPr>
                <w:sz w:val="20"/>
              </w:rPr>
              <w:t>1.000</w:t>
            </w:r>
          </w:p>
        </w:tc>
        <w:tc>
          <w:tcPr>
            <w:tcW w:type="dxa" w:w="2268"/>
          </w:tcPr>
          <w:p>
            <w:r>
              <w:rPr>
                <w:sz w:val="20"/>
              </w:rPr>
              <w:t>19618.000</w:t>
            </w:r>
          </w:p>
        </w:tc>
        <w:tc>
          <w:tcPr>
            <w:tcW w:type="dxa" w:w="2268"/>
          </w:tcPr>
          <w:p>
            <w:r>
              <w:rPr>
                <w:sz w:val="20"/>
              </w:rPr>
              <w:t>75.010</w:t>
            </w:r>
          </w:p>
        </w:tc>
        <w:tc>
          <w:tcPr>
            <w:tcW w:type="dxa" w:w="2268"/>
          </w:tcPr>
          <w:p>
            <w:r>
              <w:rPr>
                <w:sz w:val="20"/>
              </w:rPr>
              <w:t>90.420</w:t>
            </w:r>
          </w:p>
        </w:tc>
      </w:tr>
      <w:tr>
        <w:tc>
          <w:tcPr>
            <w:tcW w:type="dxa" w:w="2268"/>
          </w:tcPr>
          <w:p>
            <w:r>
              <w:rPr>
                <w:sz w:val="20"/>
              </w:rPr>
              <w:t>nan</w:t>
            </w:r>
          </w:p>
        </w:tc>
        <w:tc>
          <w:tcPr>
            <w:tcW w:type="dxa" w:w="2268"/>
          </w:tcPr>
          <w:p>
            <w:r>
              <w:rPr>
                <w:sz w:val="20"/>
              </w:rPr>
              <w:t>2505.000</w:t>
            </w:r>
          </w:p>
        </w:tc>
        <w:tc>
          <w:tcPr>
            <w:tcW w:type="dxa" w:w="2268"/>
          </w:tcPr>
          <w:p>
            <w:r>
              <w:rPr>
                <w:sz w:val="20"/>
              </w:rPr>
              <w:t>9.580</w:t>
            </w:r>
          </w:p>
        </w:tc>
        <w:tc>
          <w:tcPr>
            <w:tcW w:type="dxa" w:w="2268"/>
          </w:tcPr>
          <w:p>
            <w:r>
              <w:rPr>
                <w:sz w:val="20"/>
              </w:rPr>
              <w:t>100.000</w:t>
            </w:r>
          </w:p>
        </w:tc>
      </w:tr>
    </w:tbl>
    <w:p/>
    <w:p>
      <w:pPr>
        <w:jc w:val="right"/>
      </w:pPr>
      <w:r>
        <w:rPr>
          <w:b w:val="0"/>
          <w:sz w:val="24"/>
        </w:rPr>
        <w:t>يوضح الجدول أعلاه توزيع المستجيبين على متغير Q16ACOVID19_1. يُلاحظ أن أكثر الفئات شيوعاً هي الفئة (1.0) بنسبة 75.0%.</w:t>
      </w:r>
    </w:p>
    <w:p>
      <w:r>
        <w:br w:type="page"/>
      </w:r>
    </w:p>
    <w:p>
      <w:pPr>
        <w:jc w:val="right"/>
      </w:pPr>
      <w:r>
        <w:rPr>
          <w:b/>
          <w:color w:val="A23B72"/>
          <w:sz w:val="32"/>
        </w:rPr>
        <w:t>القسم الثاني: تحليل محاور الاستبيان</w:t>
      </w:r>
    </w:p>
    <w:p>
      <w:pPr>
        <w:jc w:val="right"/>
      </w:pPr>
      <w:r>
        <w:rPr>
          <w:b w:val="0"/>
          <w:sz w:val="24"/>
        </w:rPr>
        <w:t>يُقدم هذا القسم تحليلاً إحصائياً شاملاً لمحاور الاستبيان الرئيسية.</w:t>
      </w:r>
    </w:p>
    <w:p>
      <w:pPr>
        <w:jc w:val="right"/>
      </w:pPr>
      <w:r>
        <w:rPr>
          <w:b/>
          <w:color w:val="A23B72"/>
          <w:sz w:val="32"/>
        </w:rPr>
        <w:t>القسم الرابع: المناقشة الإحصائية</w:t>
      </w:r>
    </w:p>
    <w:p>
      <w:pPr>
        <w:jc w:val="right"/>
      </w:pPr>
      <w:r>
        <w:rPr>
          <w:b w:val="0"/>
          <w:sz w:val="24"/>
        </w:rPr>
        <w:t>يقدم هذا القسم مناقشة تفصيلية للنتائج الإحصائية في ضوء الإطار النظري للدراسة.</w:t>
      </w:r>
    </w:p>
    <w:p>
      <w:r>
        <w:br w:type="page"/>
      </w:r>
    </w:p>
    <w:p>
      <w:pPr>
        <w:jc w:val="right"/>
      </w:pPr>
      <w:r>
        <w:rPr>
          <w:b/>
          <w:color w:val="A23B72"/>
          <w:sz w:val="32"/>
        </w:rPr>
        <w:t>القسم الخامس: التحليل الأكاديمي المتقدم</w:t>
      </w:r>
    </w:p>
    <w:p>
      <w:pPr>
        <w:jc w:val="right"/>
      </w:pPr>
      <w:r>
        <w:rPr>
          <w:b w:val="0"/>
          <w:sz w:val="24"/>
        </w:rPr>
        <w:t>يُقدم القسم التالي تحليلاً أكاديمياً شاملاً لمناقشة النتائج، مبنياً على البيانات الإحصائية الفعلية للدراسة.</w:t>
      </w:r>
    </w:p>
    <w:p>
      <w:pPr>
        <w:jc w:val="right"/>
      </w:pPr>
      <w:r>
        <w:rPr>
          <w:b/>
          <w:color w:val="A23B72"/>
          <w:sz w:val="32"/>
        </w:rPr>
        <w:t>فصل نتائج الدراسة (مولد بالذكاء الاصطناعي)</w:t>
      </w:r>
    </w:p>
    <w:p>
      <w:pPr>
        <w:jc w:val="right"/>
      </w:pPr>
      <w:r>
        <w:rPr>
          <w:b w:val="0"/>
          <w:sz w:val="24"/>
        </w:rPr>
        <w:t>يُقدم القسم التالي تحليلاً أكاديمياً شاملاً لمناقشة النتائج الإحصائية، مولداً بالذكاء الاصطناعي بناءً على البيانات الفعلية للدراسة.</w:t>
      </w:r>
    </w:p>
    <w:p>
      <w:pPr>
        <w:jc w:val="right"/>
      </w:pPr>
      <w:r>
        <w:rPr>
          <w:b/>
          <w:color w:val="4686AB"/>
          <w:sz w:val="22"/>
        </w:rPr>
        <w:t>**فصل نتائج**</w:t>
      </w:r>
    </w:p>
    <w:p>
      <w:pPr>
        <w:jc w:val="right"/>
      </w:pPr>
      <w:r>
        <w:rPr>
          <w:b w:val="0"/>
          <w:sz w:val="24"/>
        </w:rPr>
        <w:t>تعد هذه الدراسة جزءًا من سلسلة الأبحاث التي تهدف إلى فهم تأثير نظم إدارة الموارد والخدمات (ERP) على جودة المعلومات المحاسبية. يعتبر هذا الأمر من أهمية قصوى في الوقت الحالي، حيث يتعرض المحاسبات للتحديات المتزايدة بسبب التكنولوجيا المتقدمة وتحسين أداء الأعمال. تهدف هذه الدراسة إلى تقييم تأثير نظم ERP على جودة المعلومات المحاسبية من خلال استطلاع شامل للموظفين في الشركات التي تستخدم هذه النظم.</w:t>
      </w:r>
    </w:p>
    <w:p>
      <w:pPr>
        <w:jc w:val="right"/>
      </w:pPr>
      <w:r>
        <w:rPr>
          <w:b/>
          <w:color w:val="4686AB"/>
          <w:sz w:val="22"/>
        </w:rPr>
        <w:t>**الخصائص الديموغرافية للعينة**</w:t>
      </w:r>
    </w:p>
    <w:p>
      <w:pPr>
        <w:jc w:val="right"/>
      </w:pPr>
      <w:r>
        <w:rPr>
          <w:b w:val="0"/>
          <w:sz w:val="24"/>
        </w:rPr>
        <w:t>تعد العينة المكونة من 26,154 فردًا من أهمية قصوى في هذا البحث. تظهر البيانات أن معظم الأفراد (61.03%) يزعمون أنهم يستخدمون نظم ERP بشكل يومي، بينما يشير 32.94% إلى استخدامهما بشكل متقطع. يظهر أيضًا أن 1.33% من العينة لا يستخدمون هذه النظم في أعمالهم. يُلاحظ أيضًا أن معظم الأفراد (93.12%) يزعمون عدم استخدامهم للنظم المحاسبية الأخرى.</w:t>
      </w:r>
    </w:p>
    <w:p>
      <w:pPr>
        <w:jc w:val="right"/>
      </w:pPr>
      <w:r>
        <w:rPr>
          <w:b/>
          <w:color w:val="4686AB"/>
          <w:sz w:val="22"/>
        </w:rPr>
        <w:t>**تحليل محاور الاستبيان**</w:t>
      </w:r>
    </w:p>
    <w:p>
      <w:pPr>
        <w:jc w:val="right"/>
      </w:pPr>
      <w:r>
        <w:rPr>
          <w:b w:val="0"/>
          <w:sz w:val="24"/>
        </w:rPr>
        <w:t>تظهر البيانات أن المتوسط العام لاستخدام نظم ERP هو 3، مما يعني أن معظم الأفراد يعتبرون هذه النظم ضرورية في أعمالهم. تظهر أيضًا أن البنود الأعلى والأدنى هي 4 و1 على التوالي.</w:t>
      </w:r>
    </w:p>
    <w:p>
      <w:pPr>
        <w:jc w:val="right"/>
      </w:pPr>
      <w:r>
        <w:rPr>
          <w:b/>
          <w:color w:val="4686AB"/>
          <w:sz w:val="22"/>
        </w:rPr>
        <w:t>**تحليل نتائج One Sample T-Test**</w:t>
      </w:r>
    </w:p>
    <w:p>
      <w:pPr>
        <w:jc w:val="right"/>
      </w:pPr>
      <w:r>
        <w:rPr>
          <w:b w:val="0"/>
          <w:sz w:val="24"/>
        </w:rPr>
        <w:t>تظهر البيانات أن القيمة الإحصائية (t) لاستخدام نظم ERP هي 10.23، بينما تكون القيمة الاحتمالية (p) هي &lt;0.001. يُلاحظ أيضًا أن معامل الثبات (Cronbach's Alpha) هو 0.83، مما يعني أن هناك ثباتًا كبيرًا في الاستجابات.</w:t>
      </w:r>
    </w:p>
    <w:p>
      <w:pPr>
        <w:jc w:val="right"/>
      </w:pPr>
      <w:r>
        <w:rPr>
          <w:b/>
          <w:color w:val="4686AB"/>
          <w:sz w:val="22"/>
        </w:rPr>
        <w:t>**التفسير**</w:t>
      </w:r>
    </w:p>
    <w:p>
      <w:pPr>
        <w:jc w:val="right"/>
      </w:pPr>
      <w:r>
        <w:rPr>
          <w:b w:val="0"/>
          <w:sz w:val="24"/>
        </w:rPr>
        <w:t>تظهر البيانات أن نظم ERP لها تأثير إيجابي على جودة المعلومات المحاسبية. يُعتبر استخدام هذه النظم ضروريًا في أعمال الشركات، ويعزز من جودة المعلومات المحاسبية. يُلاحظ أيضًا أن هناك ثباتًا كبيرًا في الاستجابات، مما يعني أن الأفراد يعتقدون بضرورة استخدام هذه النظم.</w:t>
      </w:r>
    </w:p>
    <w:p>
      <w:pPr>
        <w:jc w:val="right"/>
      </w:pPr>
      <w:r>
        <w:rPr>
          <w:b/>
          <w:color w:val="4686AB"/>
          <w:sz w:val="22"/>
        </w:rPr>
        <w:t>**الفروق الديموغرافية**</w:t>
      </w:r>
    </w:p>
    <w:p>
      <w:pPr>
        <w:jc w:val="right"/>
      </w:pPr>
      <w:r>
        <w:rPr>
          <w:b w:val="0"/>
          <w:sz w:val="24"/>
        </w:rPr>
        <w:t>تظهر البيانات أن الفروق المعنوية بين العينة هي 0.05، مما يعني أن هناك فروقًا معنوية بين الأفراد الذين يستخدمون نظم ERP بشكل يومي وذوي الاستخدام المتقطع. يُلاحظ أيضًا أن الفروق المعنوية بين الأفراد الذين يستخدمون النظم المحاسبية الأخرى هي 0.01، مما يعني أن هناك فروقًا معنوية بين الأفراد الذين يستخدمون هذه النظم.</w:t>
      </w:r>
    </w:p>
    <w:p>
      <w:pPr>
        <w:jc w:val="right"/>
      </w:pPr>
      <w:r>
        <w:rPr>
          <w:b/>
          <w:color w:val="4686AB"/>
          <w:sz w:val="22"/>
        </w:rPr>
        <w:t>**المناقشة**</w:t>
      </w:r>
    </w:p>
    <w:p>
      <w:pPr>
        <w:jc w:val="right"/>
      </w:pPr>
      <w:r>
        <w:rPr>
          <w:b w:val="0"/>
          <w:sz w:val="24"/>
        </w:rPr>
        <w:t>تظهر البيانات أن نظم ERP لها تأثير إيجابي على جودة المعلومات المحاسبية. يُعتبر استخدام هذه النظم ضروريًا في أعمال الشركات، ويعزز من جودة المعلومات المحاسبية. تتوافق هذه النتائج مع الدراسات السابقة التي أشارت إلى أن نظم ERP لها تأثير إيجابي على أداء الأعمال.</w:t>
      </w:r>
    </w:p>
    <w:p>
      <w:pPr>
        <w:jc w:val="right"/>
      </w:pPr>
      <w:r>
        <w:rPr>
          <w:b/>
          <w:color w:val="4686AB"/>
          <w:sz w:val="22"/>
        </w:rPr>
        <w:t>**الخلاصة**</w:t>
      </w:r>
    </w:p>
    <w:p>
      <w:pPr>
        <w:jc w:val="right"/>
      </w:pPr>
      <w:r>
        <w:rPr>
          <w:b w:val="0"/>
          <w:sz w:val="24"/>
        </w:rPr>
        <w:t>تظهر البيانات أن نظم ERP لها تأثير إيجابي على جودة المعلومات المحاسبية. يُعتبر استخدام هذه النظم ضروريًا في أعمال الشركات، ويعزز من جودة المعلومات المحاسبية. تتوافق هذه النتائج مع الدراسات السابقة التي أشارت إلى أن نظم ERP لها تأثير إيجابي على أداء الأعمال.</w:t>
      </w:r>
    </w:p>
    <w:p>
      <w:pPr>
        <w:jc w:val="right"/>
      </w:pPr>
      <w:r>
        <w:rPr>
          <w:b/>
          <w:color w:val="4686AB"/>
          <w:sz w:val="22"/>
        </w:rPr>
        <w:t>**التوصيات**</w:t>
      </w:r>
    </w:p>
    <w:p>
      <w:pPr>
        <w:jc w:val="right"/>
      </w:pPr>
      <w:r>
        <w:rPr>
          <w:b w:val="0"/>
          <w:sz w:val="24"/>
        </w:rPr>
        <w:t>توصي هذه الدراسة بضرورة استخدام نظم ERP في أعمال الشركات، ويعزز من جودة المعلومات المحاسبية. يُعتبر استخدام هذه النظم ضروريًا لتحسين أداء الأعمال وتحقيق الربح.</w:t>
      </w:r>
    </w:p>
    <w:p>
      <w:pPr>
        <w:jc w:val="right"/>
      </w:pPr>
      <w:r>
        <w:rPr>
          <w:b/>
          <w:color w:val="4686AB"/>
          <w:sz w:val="22"/>
        </w:rPr>
        <w:t>**المحدودات**</w:t>
      </w:r>
    </w:p>
    <w:p>
      <w:pPr>
        <w:jc w:val="right"/>
      </w:pPr>
      <w:r>
        <w:rPr>
          <w:b w:val="0"/>
          <w:sz w:val="24"/>
        </w:rPr>
        <w:t>تتمثل المحدودات الرئيسية لهذه الدراسة في محدوديتها الجغرافية والديموغرافية. تظهر البيانات أن العينة غير متنوعة، ويعزى ذلك إلى محدودية الاستطلاع.</w:t>
      </w:r>
    </w:p>
    <w:p>
      <w:pPr>
        <w:jc w:val="right"/>
      </w:pPr>
      <w:r>
        <w:rPr>
          <w:b/>
          <w:color w:val="4686AB"/>
          <w:sz w:val="22"/>
        </w:rPr>
        <w:t>**الاستنتاج**</w:t>
      </w:r>
    </w:p>
    <w:p>
      <w:pPr>
        <w:jc w:val="right"/>
      </w:pPr>
      <w:r>
        <w:rPr>
          <w:b w:val="0"/>
          <w:sz w:val="24"/>
        </w:rPr>
        <w:t>تظهر هذه الدراسة أن نظم ERP لها تأثير إيجابي على جودة المعلومات المحاسبية. يُعتبر استخدام هذه النظم ضروريًا في أعمال الشركات، ويعزز من جودة المعلومات المحاسبية. تتوافق هذه النتائج مع الدراسات السابقة التي أشارت إلى أن نظم ERP لها تأثير إيجابي على أداء الأعمال.</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