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تأثير نظم ERP على جودة المعلومة المحاسبية</w:t>
      </w:r>
    </w:p>
    <w:p>
      <w:pPr>
        <w:jc w:val="center"/>
      </w:pPr>
      <w:r>
        <w:rPr>
          <w:b w:val="0"/>
          <w:sz w:val="24"/>
        </w:rPr>
        <w:t>═══════════════════════════════════════</w:t>
      </w:r>
    </w:p>
    <w:p>
      <w:pPr>
        <w:jc w:val="center"/>
      </w:pPr>
      <w:r>
        <w:rPr>
          <w:b/>
          <w:sz w:val="24"/>
        </w:rPr>
        <w:t>التقرير الإحصائي الشامل</w:t>
      </w:r>
    </w:p>
    <w:p>
      <w:pPr>
        <w:jc w:val="center"/>
      </w:pPr>
      <w:r>
        <w:rPr>
          <w:b/>
          <w:sz w:val="24"/>
        </w:rPr>
        <w:t>تأثير نظم ERP على جودة المعلومة المحاسبية</w:t>
      </w:r>
    </w:p>
    <w:p>
      <w:pPr>
        <w:jc w:val="center"/>
      </w:pPr>
      <w:r>
        <w:rPr>
          <w:b w:val="0"/>
          <w:sz w:val="24"/>
        </w:rPr>
        <w:t>حجم العينة: 26154 فرد</w:t>
      </w:r>
    </w:p>
    <w:p>
      <w:pPr>
        <w:jc w:val="center"/>
      </w:pPr>
      <w:r>
        <w:rPr>
          <w:b w:val="0"/>
          <w:sz w:val="24"/>
        </w:rPr>
        <w:t>═══════════════════════════════════════</w:t>
      </w:r>
    </w:p>
    <w:p>
      <w:r>
        <w:br w:type="page"/>
      </w:r>
    </w:p>
    <w:p>
      <w:pPr>
        <w:jc w:val="right"/>
      </w:pPr>
      <w:r>
        <w:rPr>
          <w:b/>
          <w:color w:val="A23B72"/>
          <w:sz w:val="32"/>
        </w:rPr>
        <w:t>القسم الأول: الخصائص الديموغرافية</w:t>
      </w:r>
    </w:p>
    <w:p>
      <w:pPr>
        <w:jc w:val="right"/>
      </w:pPr>
      <w:r>
        <w:rPr>
          <w:b w:val="0"/>
          <w:sz w:val="24"/>
        </w:rPr>
        <w:t>يستعرض هذا القسم الخصائص الديموغرافية لعينة الدراسة، والتي تُعد أساساً لفهم تركيبة المستجيبين وتوزيعهم على المتغيرات الفئوية. تُعرض البيانات في جداول تكرارية ورسوم بيانية توضيحية.</w:t>
      </w:r>
    </w:p>
    <w:p>
      <w:pPr>
        <w:jc w:val="right"/>
      </w:pPr>
      <w:r>
        <w:rPr>
          <w:b/>
          <w:color w:val="A23B72"/>
          <w:sz w:val="26"/>
        </w:rPr>
        <w:t>جدول توزيع Q13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1.000</w:t>
            </w:r>
          </w:p>
        </w:tc>
        <w:tc>
          <w:tcPr>
            <w:tcW w:type="dxa" w:w="2268"/>
          </w:tcPr>
          <w:p>
            <w:r>
              <w:rPr>
                <w:sz w:val="20"/>
              </w:rPr>
              <w:t>15963.000</w:t>
            </w:r>
          </w:p>
        </w:tc>
        <w:tc>
          <w:tcPr>
            <w:tcW w:type="dxa" w:w="2268"/>
          </w:tcPr>
          <w:p>
            <w:r>
              <w:rPr>
                <w:sz w:val="20"/>
              </w:rPr>
              <w:t>61.030</w:t>
            </w:r>
          </w:p>
        </w:tc>
        <w:tc>
          <w:tcPr>
            <w:tcW w:type="dxa" w:w="2268"/>
          </w:tcPr>
          <w:p>
            <w:r>
              <w:rPr>
                <w:sz w:val="20"/>
              </w:rPr>
              <w:t>61.030</w:t>
            </w:r>
          </w:p>
        </w:tc>
      </w:tr>
      <w:tr>
        <w:tc>
          <w:tcPr>
            <w:tcW w:type="dxa" w:w="2268"/>
          </w:tcPr>
          <w:p>
            <w:r>
              <w:rPr>
                <w:sz w:val="20"/>
              </w:rPr>
              <w:t>2.000</w:t>
            </w:r>
          </w:p>
        </w:tc>
        <w:tc>
          <w:tcPr>
            <w:tcW w:type="dxa" w:w="2268"/>
          </w:tcPr>
          <w:p>
            <w:r>
              <w:rPr>
                <w:sz w:val="20"/>
              </w:rPr>
              <w:t>8615.000</w:t>
            </w:r>
          </w:p>
        </w:tc>
        <w:tc>
          <w:tcPr>
            <w:tcW w:type="dxa" w:w="2268"/>
          </w:tcPr>
          <w:p>
            <w:r>
              <w:rPr>
                <w:sz w:val="20"/>
              </w:rPr>
              <w:t>32.940</w:t>
            </w:r>
          </w:p>
        </w:tc>
        <w:tc>
          <w:tcPr>
            <w:tcW w:type="dxa" w:w="2268"/>
          </w:tcPr>
          <w:p>
            <w:r>
              <w:rPr>
                <w:sz w:val="20"/>
              </w:rPr>
              <w:t>93.970</w:t>
            </w:r>
          </w:p>
        </w:tc>
      </w:tr>
      <w:tr>
        <w:tc>
          <w:tcPr>
            <w:tcW w:type="dxa" w:w="2268"/>
          </w:tcPr>
          <w:p>
            <w:r>
              <w:rPr>
                <w:sz w:val="20"/>
              </w:rPr>
              <w:t>3.000</w:t>
            </w:r>
          </w:p>
        </w:tc>
        <w:tc>
          <w:tcPr>
            <w:tcW w:type="dxa" w:w="2268"/>
          </w:tcPr>
          <w:p>
            <w:r>
              <w:rPr>
                <w:sz w:val="20"/>
              </w:rPr>
              <w:t>348.000</w:t>
            </w:r>
          </w:p>
        </w:tc>
        <w:tc>
          <w:tcPr>
            <w:tcW w:type="dxa" w:w="2268"/>
          </w:tcPr>
          <w:p>
            <w:r>
              <w:rPr>
                <w:sz w:val="20"/>
              </w:rPr>
              <w:t>1.330</w:t>
            </w:r>
          </w:p>
        </w:tc>
        <w:tc>
          <w:tcPr>
            <w:tcW w:type="dxa" w:w="2268"/>
          </w:tcPr>
          <w:p>
            <w:r>
              <w:rPr>
                <w:sz w:val="20"/>
              </w:rPr>
              <w:t>95.300</w:t>
            </w:r>
          </w:p>
        </w:tc>
      </w:tr>
      <w:tr>
        <w:tc>
          <w:tcPr>
            <w:tcW w:type="dxa" w:w="2268"/>
          </w:tcPr>
          <w:p>
            <w:r>
              <w:rPr>
                <w:sz w:val="20"/>
              </w:rPr>
              <w:t>nan</w:t>
            </w:r>
          </w:p>
        </w:tc>
        <w:tc>
          <w:tcPr>
            <w:tcW w:type="dxa" w:w="2268"/>
          </w:tcPr>
          <w:p>
            <w:r>
              <w:rPr>
                <w:sz w:val="20"/>
              </w:rPr>
              <w:t>1228.000</w:t>
            </w:r>
          </w:p>
        </w:tc>
        <w:tc>
          <w:tcPr>
            <w:tcW w:type="dxa" w:w="2268"/>
          </w:tcPr>
          <w:p>
            <w:r>
              <w:rPr>
                <w:sz w:val="20"/>
              </w:rPr>
              <w:t>4.700</w:t>
            </w:r>
          </w:p>
        </w:tc>
        <w:tc>
          <w:tcPr>
            <w:tcW w:type="dxa" w:w="2268"/>
          </w:tcPr>
          <w:p>
            <w:r>
              <w:rPr>
                <w:sz w:val="20"/>
              </w:rPr>
              <w:t>100.000</w:t>
            </w:r>
          </w:p>
        </w:tc>
      </w:tr>
    </w:tbl>
    <w:p/>
    <w:p>
      <w:pPr>
        <w:jc w:val="right"/>
      </w:pPr>
      <w:r>
        <w:rPr>
          <w:b w:val="0"/>
          <w:sz w:val="24"/>
        </w:rPr>
        <w:t>يوضح الجدول أعلاه توزيع المستجيبين على متغير Q13. يُلاحظ أن أكثر الفئات شيوعاً هي الفئة ذات التكرار الأعلى، مما يعكس طبيعة العينة المدروسة.</w:t>
      </w:r>
    </w:p>
    <w:p>
      <w:pPr>
        <w:jc w:val="right"/>
      </w:pPr>
      <w:r>
        <w:rPr>
          <w:b/>
          <w:color w:val="A23B72"/>
          <w:sz w:val="26"/>
        </w:rPr>
        <w:t>الشكل البياني: توزيع Q13</w:t>
      </w:r>
    </w:p>
    <w:p>
      <w:pPr>
        <w:jc w:val="center"/>
      </w:pPr>
      <w:r>
        <w:drawing>
          <wp:inline xmlns:a="http://schemas.openxmlformats.org/drawingml/2006/main" xmlns:pic="http://schemas.openxmlformats.org/drawingml/2006/picture">
            <wp:extent cx="5040000" cy="3005660"/>
            <wp:docPr id="1" name="Picture 1"/>
            <wp:cNvGraphicFramePr>
              <a:graphicFrameLocks noChangeAspect="1"/>
            </wp:cNvGraphicFramePr>
            <a:graphic>
              <a:graphicData uri="http://schemas.openxmlformats.org/drawingml/2006/picture">
                <pic:pic>
                  <pic:nvPicPr>
                    <pic:cNvPr id="0" name="demo_Q13_bar.png"/>
                    <pic:cNvPicPr/>
                  </pic:nvPicPr>
                  <pic:blipFill>
                    <a:blip r:embed="rId9"/>
                    <a:stretch>
                      <a:fillRect/>
                    </a:stretch>
                  </pic:blipFill>
                  <pic:spPr>
                    <a:xfrm>
                      <a:off x="0" y="0"/>
                      <a:ext cx="5040000" cy="3005660"/>
                    </a:xfrm>
                    <a:prstGeom prst="rect"/>
                  </pic:spPr>
                </pic:pic>
              </a:graphicData>
            </a:graphic>
          </wp:inline>
        </w:drawing>
      </w:r>
    </w:p>
    <w:p/>
    <w:p>
      <w:pPr>
        <w:jc w:val="right"/>
      </w:pPr>
      <w:r>
        <w:rPr>
          <w:b w:val="0"/>
          <w:sz w:val="24"/>
        </w:rPr>
        <w:t>الشكل أعلاه يُظهر توزيع التكرارات لمتغير Q13 على شكل أعمدة، مما يسهل مقارنة الفئات المختلفة من حيث الحجم.</w:t>
      </w:r>
    </w:p>
    <w:p>
      <w:pPr>
        <w:jc w:val="center"/>
      </w:pPr>
      <w:r>
        <w:drawing>
          <wp:inline xmlns:a="http://schemas.openxmlformats.org/drawingml/2006/main" xmlns:pic="http://schemas.openxmlformats.org/drawingml/2006/picture">
            <wp:extent cx="4320000" cy="4447722"/>
            <wp:docPr id="2" name="Picture 2"/>
            <wp:cNvGraphicFramePr>
              <a:graphicFrameLocks noChangeAspect="1"/>
            </wp:cNvGraphicFramePr>
            <a:graphic>
              <a:graphicData uri="http://schemas.openxmlformats.org/drawingml/2006/picture">
                <pic:pic>
                  <pic:nvPicPr>
                    <pic:cNvPr id="0" name="demo_Q13_pie.png"/>
                    <pic:cNvPicPr/>
                  </pic:nvPicPr>
                  <pic:blipFill>
                    <a:blip r:embed="rId10"/>
                    <a:stretch>
                      <a:fillRect/>
                    </a:stretch>
                  </pic:blipFill>
                  <pic:spPr>
                    <a:xfrm>
                      <a:off x="0" y="0"/>
                      <a:ext cx="4320000" cy="4447722"/>
                    </a:xfrm>
                    <a:prstGeom prst="rect"/>
                  </pic:spPr>
                </pic:pic>
              </a:graphicData>
            </a:graphic>
          </wp:inline>
        </w:drawing>
      </w:r>
    </w:p>
    <w:p/>
    <w:p>
      <w:pPr>
        <w:jc w:val="right"/>
      </w:pPr>
      <w:r>
        <w:rPr>
          <w:b w:val="0"/>
          <w:sz w:val="24"/>
        </w:rPr>
        <w:t>الشكل الدائري يُظهر النسب المئوية لكل فئة من فئات Q13، ويوضح مساهمة كل فئة في العينة الكلية.</w:t>
      </w:r>
    </w:p>
    <w:p>
      <w:pPr>
        <w:jc w:val="right"/>
      </w:pPr>
      <w:r>
        <w:rPr>
          <w:b/>
          <w:color w:val="A23B72"/>
          <w:sz w:val="26"/>
        </w:rPr>
        <w:t>جدول توزيع Q1A_PAL</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1.000</w:t>
            </w:r>
          </w:p>
        </w:tc>
        <w:tc>
          <w:tcPr>
            <w:tcW w:type="dxa" w:w="2268"/>
          </w:tcPr>
          <w:p>
            <w:r>
              <w:rPr>
                <w:sz w:val="20"/>
              </w:rPr>
              <w:t>1185.000</w:t>
            </w:r>
          </w:p>
        </w:tc>
        <w:tc>
          <w:tcPr>
            <w:tcW w:type="dxa" w:w="2268"/>
          </w:tcPr>
          <w:p>
            <w:r>
              <w:rPr>
                <w:sz w:val="20"/>
              </w:rPr>
              <w:t>4.530</w:t>
            </w:r>
          </w:p>
        </w:tc>
        <w:tc>
          <w:tcPr>
            <w:tcW w:type="dxa" w:w="2268"/>
          </w:tcPr>
          <w:p>
            <w:r>
              <w:rPr>
                <w:sz w:val="20"/>
              </w:rPr>
              <w:t>4.530</w:t>
            </w:r>
          </w:p>
        </w:tc>
      </w:tr>
      <w:tr>
        <w:tc>
          <w:tcPr>
            <w:tcW w:type="dxa" w:w="2268"/>
          </w:tcPr>
          <w:p>
            <w:r>
              <w:rPr>
                <w:sz w:val="20"/>
              </w:rPr>
              <w:t>2.000</w:t>
            </w:r>
          </w:p>
        </w:tc>
        <w:tc>
          <w:tcPr>
            <w:tcW w:type="dxa" w:w="2268"/>
          </w:tcPr>
          <w:p>
            <w:r>
              <w:rPr>
                <w:sz w:val="20"/>
              </w:rPr>
              <w:t>615.000</w:t>
            </w:r>
          </w:p>
        </w:tc>
        <w:tc>
          <w:tcPr>
            <w:tcW w:type="dxa" w:w="2268"/>
          </w:tcPr>
          <w:p>
            <w:r>
              <w:rPr>
                <w:sz w:val="20"/>
              </w:rPr>
              <w:t>2.350</w:t>
            </w:r>
          </w:p>
        </w:tc>
        <w:tc>
          <w:tcPr>
            <w:tcW w:type="dxa" w:w="2268"/>
          </w:tcPr>
          <w:p>
            <w:r>
              <w:rPr>
                <w:sz w:val="20"/>
              </w:rPr>
              <w:t>6.880</w:t>
            </w:r>
          </w:p>
        </w:tc>
      </w:tr>
      <w:tr>
        <w:tc>
          <w:tcPr>
            <w:tcW w:type="dxa" w:w="2268"/>
          </w:tcPr>
          <w:p>
            <w:r>
              <w:rPr>
                <w:sz w:val="20"/>
              </w:rPr>
              <w:t>nan</w:t>
            </w:r>
          </w:p>
        </w:tc>
        <w:tc>
          <w:tcPr>
            <w:tcW w:type="dxa" w:w="2268"/>
          </w:tcPr>
          <w:p>
            <w:r>
              <w:rPr>
                <w:sz w:val="20"/>
              </w:rPr>
              <w:t>24354.000</w:t>
            </w:r>
          </w:p>
        </w:tc>
        <w:tc>
          <w:tcPr>
            <w:tcW w:type="dxa" w:w="2268"/>
          </w:tcPr>
          <w:p>
            <w:r>
              <w:rPr>
                <w:sz w:val="20"/>
              </w:rPr>
              <w:t>93.120</w:t>
            </w:r>
          </w:p>
        </w:tc>
        <w:tc>
          <w:tcPr>
            <w:tcW w:type="dxa" w:w="2268"/>
          </w:tcPr>
          <w:p>
            <w:r>
              <w:rPr>
                <w:sz w:val="20"/>
              </w:rPr>
              <w:t>100.000</w:t>
            </w:r>
          </w:p>
        </w:tc>
      </w:tr>
    </w:tbl>
    <w:p/>
    <w:p>
      <w:pPr>
        <w:jc w:val="right"/>
      </w:pPr>
      <w:r>
        <w:rPr>
          <w:b w:val="0"/>
          <w:sz w:val="24"/>
        </w:rPr>
        <w:t>يوضح الجدول أعلاه توزيع المستجيبين على متغير Q1A_PAL. يُلاحظ أن أكثر الفئات شيوعاً هي الفئة ذات التكرار الأعلى، مما يعكس طبيعة العينة المدروسة.</w:t>
      </w:r>
    </w:p>
    <w:p>
      <w:pPr>
        <w:jc w:val="right"/>
      </w:pPr>
      <w:r>
        <w:rPr>
          <w:b/>
          <w:color w:val="A23B72"/>
          <w:sz w:val="26"/>
        </w:rPr>
        <w:t>الشكل البياني: توزيع Q1A_PAL</w:t>
      </w:r>
    </w:p>
    <w:p>
      <w:pPr>
        <w:jc w:val="center"/>
      </w:pPr>
      <w:r>
        <w:drawing>
          <wp:inline xmlns:a="http://schemas.openxmlformats.org/drawingml/2006/main" xmlns:pic="http://schemas.openxmlformats.org/drawingml/2006/picture">
            <wp:extent cx="5040000" cy="3003636"/>
            <wp:docPr id="3" name="Picture 3"/>
            <wp:cNvGraphicFramePr>
              <a:graphicFrameLocks noChangeAspect="1"/>
            </wp:cNvGraphicFramePr>
            <a:graphic>
              <a:graphicData uri="http://schemas.openxmlformats.org/drawingml/2006/picture">
                <pic:pic>
                  <pic:nvPicPr>
                    <pic:cNvPr id="0" name="demo_Q1A_PAL_bar.png"/>
                    <pic:cNvPicPr/>
                  </pic:nvPicPr>
                  <pic:blipFill>
                    <a:blip r:embed="rId11"/>
                    <a:stretch>
                      <a:fillRect/>
                    </a:stretch>
                  </pic:blipFill>
                  <pic:spPr>
                    <a:xfrm>
                      <a:off x="0" y="0"/>
                      <a:ext cx="5040000" cy="3003636"/>
                    </a:xfrm>
                    <a:prstGeom prst="rect"/>
                  </pic:spPr>
                </pic:pic>
              </a:graphicData>
            </a:graphic>
          </wp:inline>
        </w:drawing>
      </w:r>
    </w:p>
    <w:p/>
    <w:p>
      <w:pPr>
        <w:jc w:val="right"/>
      </w:pPr>
      <w:r>
        <w:rPr>
          <w:b w:val="0"/>
          <w:sz w:val="24"/>
        </w:rPr>
        <w:t>الشكل أعلاه يُظهر توزيع التكرارات لمتغير Q1A_PAL على شكل أعمدة، مما يسهل مقارنة الفئات المختلفة من حيث الحجم.</w:t>
      </w:r>
    </w:p>
    <w:p>
      <w:pPr>
        <w:jc w:val="center"/>
      </w:pPr>
      <w:r>
        <w:drawing>
          <wp:inline xmlns:a="http://schemas.openxmlformats.org/drawingml/2006/main" xmlns:pic="http://schemas.openxmlformats.org/drawingml/2006/picture">
            <wp:extent cx="4320000" cy="4447722"/>
            <wp:docPr id="4" name="Picture 4"/>
            <wp:cNvGraphicFramePr>
              <a:graphicFrameLocks noChangeAspect="1"/>
            </wp:cNvGraphicFramePr>
            <a:graphic>
              <a:graphicData uri="http://schemas.openxmlformats.org/drawingml/2006/picture">
                <pic:pic>
                  <pic:nvPicPr>
                    <pic:cNvPr id="0" name="demo_Q1A_PAL_pie.png"/>
                    <pic:cNvPicPr/>
                  </pic:nvPicPr>
                  <pic:blipFill>
                    <a:blip r:embed="rId12"/>
                    <a:stretch>
                      <a:fillRect/>
                    </a:stretch>
                  </pic:blipFill>
                  <pic:spPr>
                    <a:xfrm>
                      <a:off x="0" y="0"/>
                      <a:ext cx="4320000" cy="4447722"/>
                    </a:xfrm>
                    <a:prstGeom prst="rect"/>
                  </pic:spPr>
                </pic:pic>
              </a:graphicData>
            </a:graphic>
          </wp:inline>
        </w:drawing>
      </w:r>
    </w:p>
    <w:p/>
    <w:p>
      <w:pPr>
        <w:jc w:val="right"/>
      </w:pPr>
      <w:r>
        <w:rPr>
          <w:b w:val="0"/>
          <w:sz w:val="24"/>
        </w:rPr>
        <w:t>الشكل الدائري يُظهر النسب المئوية لكل فئة من فئات Q1A_PAL، ويوضح مساهمة كل فئة في العينة الكلية.</w:t>
      </w:r>
    </w:p>
    <w:p>
      <w:pPr>
        <w:jc w:val="right"/>
      </w:pPr>
      <w:r>
        <w:rPr>
          <w:b/>
          <w:color w:val="A23B72"/>
          <w:sz w:val="26"/>
        </w:rPr>
        <w:t>جدول توزيع Q1A_ALG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1.000</w:t>
            </w:r>
          </w:p>
        </w:tc>
        <w:tc>
          <w:tcPr>
            <w:tcW w:type="dxa" w:w="2268"/>
          </w:tcPr>
          <w:p>
            <w:r>
              <w:rPr>
                <w:sz w:val="20"/>
              </w:rPr>
              <w:t>220.000</w:t>
            </w:r>
          </w:p>
        </w:tc>
        <w:tc>
          <w:tcPr>
            <w:tcW w:type="dxa" w:w="2268"/>
          </w:tcPr>
          <w:p>
            <w:r>
              <w:rPr>
                <w:sz w:val="20"/>
              </w:rPr>
              <w:t>0.840</w:t>
            </w:r>
          </w:p>
        </w:tc>
        <w:tc>
          <w:tcPr>
            <w:tcW w:type="dxa" w:w="2268"/>
          </w:tcPr>
          <w:p>
            <w:r>
              <w:rPr>
                <w:sz w:val="20"/>
              </w:rPr>
              <w:t>0.840</w:t>
            </w:r>
          </w:p>
        </w:tc>
      </w:tr>
      <w:tr>
        <w:tc>
          <w:tcPr>
            <w:tcW w:type="dxa" w:w="2268"/>
          </w:tcPr>
          <w:p>
            <w:r>
              <w:rPr>
                <w:sz w:val="20"/>
              </w:rPr>
              <w:t>2.000</w:t>
            </w:r>
          </w:p>
        </w:tc>
        <w:tc>
          <w:tcPr>
            <w:tcW w:type="dxa" w:w="2268"/>
          </w:tcPr>
          <w:p>
            <w:r>
              <w:rPr>
                <w:sz w:val="20"/>
              </w:rPr>
              <w:t>406.000</w:t>
            </w:r>
          </w:p>
        </w:tc>
        <w:tc>
          <w:tcPr>
            <w:tcW w:type="dxa" w:w="2268"/>
          </w:tcPr>
          <w:p>
            <w:r>
              <w:rPr>
                <w:sz w:val="20"/>
              </w:rPr>
              <w:t>1.550</w:t>
            </w:r>
          </w:p>
        </w:tc>
        <w:tc>
          <w:tcPr>
            <w:tcW w:type="dxa" w:w="2268"/>
          </w:tcPr>
          <w:p>
            <w:r>
              <w:rPr>
                <w:sz w:val="20"/>
              </w:rPr>
              <w:t>2.390</w:t>
            </w:r>
          </w:p>
        </w:tc>
      </w:tr>
      <w:tr>
        <w:tc>
          <w:tcPr>
            <w:tcW w:type="dxa" w:w="2268"/>
          </w:tcPr>
          <w:p>
            <w:r>
              <w:rPr>
                <w:sz w:val="20"/>
              </w:rPr>
              <w:t>3.000</w:t>
            </w:r>
          </w:p>
        </w:tc>
        <w:tc>
          <w:tcPr>
            <w:tcW w:type="dxa" w:w="2268"/>
          </w:tcPr>
          <w:p>
            <w:r>
              <w:rPr>
                <w:sz w:val="20"/>
              </w:rPr>
              <w:t>881.000</w:t>
            </w:r>
          </w:p>
        </w:tc>
        <w:tc>
          <w:tcPr>
            <w:tcW w:type="dxa" w:w="2268"/>
          </w:tcPr>
          <w:p>
            <w:r>
              <w:rPr>
                <w:sz w:val="20"/>
              </w:rPr>
              <w:t>3.370</w:t>
            </w:r>
          </w:p>
        </w:tc>
        <w:tc>
          <w:tcPr>
            <w:tcW w:type="dxa" w:w="2268"/>
          </w:tcPr>
          <w:p>
            <w:r>
              <w:rPr>
                <w:sz w:val="20"/>
              </w:rPr>
              <w:t>5.760</w:t>
            </w:r>
          </w:p>
        </w:tc>
      </w:tr>
      <w:tr>
        <w:tc>
          <w:tcPr>
            <w:tcW w:type="dxa" w:w="2268"/>
          </w:tcPr>
          <w:p>
            <w:r>
              <w:rPr>
                <w:sz w:val="20"/>
              </w:rPr>
              <w:t>4.000</w:t>
            </w:r>
          </w:p>
        </w:tc>
        <w:tc>
          <w:tcPr>
            <w:tcW w:type="dxa" w:w="2268"/>
          </w:tcPr>
          <w:p>
            <w:r>
              <w:rPr>
                <w:sz w:val="20"/>
              </w:rPr>
              <w:t>568.000</w:t>
            </w:r>
          </w:p>
        </w:tc>
        <w:tc>
          <w:tcPr>
            <w:tcW w:type="dxa" w:w="2268"/>
          </w:tcPr>
          <w:p>
            <w:r>
              <w:rPr>
                <w:sz w:val="20"/>
              </w:rPr>
              <w:t>2.170</w:t>
            </w:r>
          </w:p>
        </w:tc>
        <w:tc>
          <w:tcPr>
            <w:tcW w:type="dxa" w:w="2268"/>
          </w:tcPr>
          <w:p>
            <w:r>
              <w:rPr>
                <w:sz w:val="20"/>
              </w:rPr>
              <w:t>7.930</w:t>
            </w:r>
          </w:p>
        </w:tc>
      </w:tr>
      <w:tr>
        <w:tc>
          <w:tcPr>
            <w:tcW w:type="dxa" w:w="2268"/>
          </w:tcPr>
          <w:p>
            <w:r>
              <w:rPr>
                <w:sz w:val="20"/>
              </w:rPr>
              <w:t>5.000</w:t>
            </w:r>
          </w:p>
        </w:tc>
        <w:tc>
          <w:tcPr>
            <w:tcW w:type="dxa" w:w="2268"/>
          </w:tcPr>
          <w:p>
            <w:r>
              <w:rPr>
                <w:sz w:val="20"/>
              </w:rPr>
              <w:t>87.000</w:t>
            </w:r>
          </w:p>
        </w:tc>
        <w:tc>
          <w:tcPr>
            <w:tcW w:type="dxa" w:w="2268"/>
          </w:tcPr>
          <w:p>
            <w:r>
              <w:rPr>
                <w:sz w:val="20"/>
              </w:rPr>
              <w:t>0.330</w:t>
            </w:r>
          </w:p>
        </w:tc>
        <w:tc>
          <w:tcPr>
            <w:tcW w:type="dxa" w:w="2268"/>
          </w:tcPr>
          <w:p>
            <w:r>
              <w:rPr>
                <w:sz w:val="20"/>
              </w:rPr>
              <w:t>8.260</w:t>
            </w:r>
          </w:p>
        </w:tc>
      </w:tr>
      <w:tr>
        <w:tc>
          <w:tcPr>
            <w:tcW w:type="dxa" w:w="2268"/>
          </w:tcPr>
          <w:p>
            <w:r>
              <w:rPr>
                <w:sz w:val="20"/>
              </w:rPr>
              <w:t>nan</w:t>
            </w:r>
          </w:p>
        </w:tc>
        <w:tc>
          <w:tcPr>
            <w:tcW w:type="dxa" w:w="2268"/>
          </w:tcPr>
          <w:p>
            <w:r>
              <w:rPr>
                <w:sz w:val="20"/>
              </w:rPr>
              <w:t>23992.000</w:t>
            </w:r>
          </w:p>
        </w:tc>
        <w:tc>
          <w:tcPr>
            <w:tcW w:type="dxa" w:w="2268"/>
          </w:tcPr>
          <w:p>
            <w:r>
              <w:rPr>
                <w:sz w:val="20"/>
              </w:rPr>
              <w:t>91.730</w:t>
            </w:r>
          </w:p>
        </w:tc>
        <w:tc>
          <w:tcPr>
            <w:tcW w:type="dxa" w:w="2268"/>
          </w:tcPr>
          <w:p>
            <w:r>
              <w:rPr>
                <w:sz w:val="20"/>
              </w:rPr>
              <w:t>99.990</w:t>
            </w:r>
          </w:p>
        </w:tc>
      </w:tr>
    </w:tbl>
    <w:p/>
    <w:p>
      <w:pPr>
        <w:jc w:val="right"/>
      </w:pPr>
      <w:r>
        <w:rPr>
          <w:b w:val="0"/>
          <w:sz w:val="24"/>
        </w:rPr>
        <w:t>يوضح الجدول أعلاه توزيع المستجيبين على متغير Q1A_ALG. يُلاحظ أن أكثر الفئات شيوعاً هي الفئة ذات التكرار الأعلى، مما يعكس طبيعة العينة المدروسة.</w:t>
      </w:r>
    </w:p>
    <w:p>
      <w:pPr>
        <w:jc w:val="right"/>
      </w:pPr>
      <w:r>
        <w:rPr>
          <w:b/>
          <w:color w:val="A23B72"/>
          <w:sz w:val="26"/>
        </w:rPr>
        <w:t>الشكل البياني: توزيع Q1A_ALG</w:t>
      </w:r>
    </w:p>
    <w:p>
      <w:pPr>
        <w:jc w:val="center"/>
      </w:pPr>
      <w:r>
        <w:drawing>
          <wp:inline xmlns:a="http://schemas.openxmlformats.org/drawingml/2006/main" xmlns:pic="http://schemas.openxmlformats.org/drawingml/2006/picture">
            <wp:extent cx="5040000" cy="3003636"/>
            <wp:docPr id="5" name="Picture 5"/>
            <wp:cNvGraphicFramePr>
              <a:graphicFrameLocks noChangeAspect="1"/>
            </wp:cNvGraphicFramePr>
            <a:graphic>
              <a:graphicData uri="http://schemas.openxmlformats.org/drawingml/2006/picture">
                <pic:pic>
                  <pic:nvPicPr>
                    <pic:cNvPr id="0" name="demo_Q1A_ALG_bar.png"/>
                    <pic:cNvPicPr/>
                  </pic:nvPicPr>
                  <pic:blipFill>
                    <a:blip r:embed="rId13"/>
                    <a:stretch>
                      <a:fillRect/>
                    </a:stretch>
                  </pic:blipFill>
                  <pic:spPr>
                    <a:xfrm>
                      <a:off x="0" y="0"/>
                      <a:ext cx="5040000" cy="3003636"/>
                    </a:xfrm>
                    <a:prstGeom prst="rect"/>
                  </pic:spPr>
                </pic:pic>
              </a:graphicData>
            </a:graphic>
          </wp:inline>
        </w:drawing>
      </w:r>
    </w:p>
    <w:p/>
    <w:p>
      <w:pPr>
        <w:jc w:val="right"/>
      </w:pPr>
      <w:r>
        <w:rPr>
          <w:b w:val="0"/>
          <w:sz w:val="24"/>
        </w:rPr>
        <w:t>الشكل أعلاه يُظهر توزيع التكرارات لمتغير Q1A_ALG على شكل أعمدة، مما يسهل مقارنة الفئات المختلفة من حيث الحجم.</w:t>
      </w:r>
    </w:p>
    <w:p>
      <w:pPr>
        <w:jc w:val="center"/>
      </w:pPr>
      <w:r>
        <w:drawing>
          <wp:inline xmlns:a="http://schemas.openxmlformats.org/drawingml/2006/main" xmlns:pic="http://schemas.openxmlformats.org/drawingml/2006/picture">
            <wp:extent cx="4320000" cy="4447722"/>
            <wp:docPr id="6" name="Picture 6"/>
            <wp:cNvGraphicFramePr>
              <a:graphicFrameLocks noChangeAspect="1"/>
            </wp:cNvGraphicFramePr>
            <a:graphic>
              <a:graphicData uri="http://schemas.openxmlformats.org/drawingml/2006/picture">
                <pic:pic>
                  <pic:nvPicPr>
                    <pic:cNvPr id="0" name="demo_Q1A_ALG_pie.png"/>
                    <pic:cNvPicPr/>
                  </pic:nvPicPr>
                  <pic:blipFill>
                    <a:blip r:embed="rId14"/>
                    <a:stretch>
                      <a:fillRect/>
                    </a:stretch>
                  </pic:blipFill>
                  <pic:spPr>
                    <a:xfrm>
                      <a:off x="0" y="0"/>
                      <a:ext cx="4320000" cy="4447722"/>
                    </a:xfrm>
                    <a:prstGeom prst="rect"/>
                  </pic:spPr>
                </pic:pic>
              </a:graphicData>
            </a:graphic>
          </wp:inline>
        </w:drawing>
      </w:r>
    </w:p>
    <w:p/>
    <w:p>
      <w:pPr>
        <w:jc w:val="right"/>
      </w:pPr>
      <w:r>
        <w:rPr>
          <w:b w:val="0"/>
          <w:sz w:val="24"/>
        </w:rPr>
        <w:t>الشكل الدائري يُظهر النسب المئوية لكل فئة من فئات Q1A_ALG، ويوضح مساهمة كل فئة في العينة الكلية.</w:t>
      </w:r>
    </w:p>
    <w:p>
      <w:pPr>
        <w:jc w:val="right"/>
      </w:pPr>
      <w:r>
        <w:rPr>
          <w:b/>
          <w:color w:val="A23B72"/>
          <w:sz w:val="26"/>
        </w:rPr>
        <w:t>جدول توزيع Q1A_LIB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1101.000</w:t>
            </w:r>
          </w:p>
        </w:tc>
        <w:tc>
          <w:tcPr>
            <w:tcW w:type="dxa" w:w="2268"/>
          </w:tcPr>
          <w:p>
            <w:r>
              <w:rPr>
                <w:sz w:val="20"/>
              </w:rPr>
              <w:t>659.000</w:t>
            </w:r>
          </w:p>
        </w:tc>
        <w:tc>
          <w:tcPr>
            <w:tcW w:type="dxa" w:w="2268"/>
          </w:tcPr>
          <w:p>
            <w:r>
              <w:rPr>
                <w:sz w:val="20"/>
              </w:rPr>
              <w:t>2.520</w:t>
            </w:r>
          </w:p>
        </w:tc>
        <w:tc>
          <w:tcPr>
            <w:tcW w:type="dxa" w:w="2268"/>
          </w:tcPr>
          <w:p>
            <w:r>
              <w:rPr>
                <w:sz w:val="20"/>
              </w:rPr>
              <w:t>2.520</w:t>
            </w:r>
          </w:p>
        </w:tc>
      </w:tr>
      <w:tr>
        <w:tc>
          <w:tcPr>
            <w:tcW w:type="dxa" w:w="2268"/>
          </w:tcPr>
          <w:p>
            <w:r>
              <w:rPr>
                <w:sz w:val="20"/>
              </w:rPr>
              <w:t>1102.000</w:t>
            </w:r>
          </w:p>
        </w:tc>
        <w:tc>
          <w:tcPr>
            <w:tcW w:type="dxa" w:w="2268"/>
          </w:tcPr>
          <w:p>
            <w:r>
              <w:rPr>
                <w:sz w:val="20"/>
              </w:rPr>
              <w:t>187.000</w:t>
            </w:r>
          </w:p>
        </w:tc>
        <w:tc>
          <w:tcPr>
            <w:tcW w:type="dxa" w:w="2268"/>
          </w:tcPr>
          <w:p>
            <w:r>
              <w:rPr>
                <w:sz w:val="20"/>
              </w:rPr>
              <w:t>0.710</w:t>
            </w:r>
          </w:p>
        </w:tc>
        <w:tc>
          <w:tcPr>
            <w:tcW w:type="dxa" w:w="2268"/>
          </w:tcPr>
          <w:p>
            <w:r>
              <w:rPr>
                <w:sz w:val="20"/>
              </w:rPr>
              <w:t>3.230</w:t>
            </w:r>
          </w:p>
        </w:tc>
      </w:tr>
      <w:tr>
        <w:tc>
          <w:tcPr>
            <w:tcW w:type="dxa" w:w="2268"/>
          </w:tcPr>
          <w:p>
            <w:r>
              <w:rPr>
                <w:sz w:val="20"/>
              </w:rPr>
              <w:t>1103.000</w:t>
            </w:r>
          </w:p>
        </w:tc>
        <w:tc>
          <w:tcPr>
            <w:tcW w:type="dxa" w:w="2268"/>
          </w:tcPr>
          <w:p>
            <w:r>
              <w:rPr>
                <w:sz w:val="20"/>
              </w:rPr>
              <w:t>1659.000</w:t>
            </w:r>
          </w:p>
        </w:tc>
        <w:tc>
          <w:tcPr>
            <w:tcW w:type="dxa" w:w="2268"/>
          </w:tcPr>
          <w:p>
            <w:r>
              <w:rPr>
                <w:sz w:val="20"/>
              </w:rPr>
              <w:t>6.340</w:t>
            </w:r>
          </w:p>
        </w:tc>
        <w:tc>
          <w:tcPr>
            <w:tcW w:type="dxa" w:w="2268"/>
          </w:tcPr>
          <w:p>
            <w:r>
              <w:rPr>
                <w:sz w:val="20"/>
              </w:rPr>
              <w:t>9.570</w:t>
            </w:r>
          </w:p>
        </w:tc>
      </w:tr>
      <w:tr>
        <w:tc>
          <w:tcPr>
            <w:tcW w:type="dxa" w:w="2268"/>
          </w:tcPr>
          <w:p>
            <w:r>
              <w:rPr>
                <w:sz w:val="20"/>
              </w:rPr>
              <w:t>nan</w:t>
            </w:r>
          </w:p>
        </w:tc>
        <w:tc>
          <w:tcPr>
            <w:tcW w:type="dxa" w:w="2268"/>
          </w:tcPr>
          <w:p>
            <w:r>
              <w:rPr>
                <w:sz w:val="20"/>
              </w:rPr>
              <w:t>23649.000</w:t>
            </w:r>
          </w:p>
        </w:tc>
        <w:tc>
          <w:tcPr>
            <w:tcW w:type="dxa" w:w="2268"/>
          </w:tcPr>
          <w:p>
            <w:r>
              <w:rPr>
                <w:sz w:val="20"/>
              </w:rPr>
              <w:t>90.420</w:t>
            </w:r>
          </w:p>
        </w:tc>
        <w:tc>
          <w:tcPr>
            <w:tcW w:type="dxa" w:w="2268"/>
          </w:tcPr>
          <w:p>
            <w:r>
              <w:rPr>
                <w:sz w:val="20"/>
              </w:rPr>
              <w:t>99.990</w:t>
            </w:r>
          </w:p>
        </w:tc>
      </w:tr>
    </w:tbl>
    <w:p/>
    <w:p>
      <w:pPr>
        <w:jc w:val="right"/>
      </w:pPr>
      <w:r>
        <w:rPr>
          <w:b w:val="0"/>
          <w:sz w:val="24"/>
        </w:rPr>
        <w:t>يوضح الجدول أعلاه توزيع المستجيبين على متغير Q1A_LIB. يُلاحظ أن أكثر الفئات شيوعاً هي الفئة ذات التكرار الأعلى، مما يعكس طبيعة العينة المدروسة.</w:t>
      </w:r>
    </w:p>
    <w:p>
      <w:pPr>
        <w:jc w:val="right"/>
      </w:pPr>
      <w:r>
        <w:rPr>
          <w:b/>
          <w:color w:val="A23B72"/>
          <w:sz w:val="26"/>
        </w:rPr>
        <w:t>الشكل البياني: توزيع Q1A_LIB</w:t>
      </w:r>
    </w:p>
    <w:p>
      <w:pPr>
        <w:jc w:val="center"/>
      </w:pPr>
      <w:r>
        <w:drawing>
          <wp:inline xmlns:a="http://schemas.openxmlformats.org/drawingml/2006/main" xmlns:pic="http://schemas.openxmlformats.org/drawingml/2006/picture">
            <wp:extent cx="5040000" cy="3000242"/>
            <wp:docPr id="7" name="Picture 7"/>
            <wp:cNvGraphicFramePr>
              <a:graphicFrameLocks noChangeAspect="1"/>
            </wp:cNvGraphicFramePr>
            <a:graphic>
              <a:graphicData uri="http://schemas.openxmlformats.org/drawingml/2006/picture">
                <pic:pic>
                  <pic:nvPicPr>
                    <pic:cNvPr id="0" name="demo_Q1A_LIB_bar.png"/>
                    <pic:cNvPicPr/>
                  </pic:nvPicPr>
                  <pic:blipFill>
                    <a:blip r:embed="rId15"/>
                    <a:stretch>
                      <a:fillRect/>
                    </a:stretch>
                  </pic:blipFill>
                  <pic:spPr>
                    <a:xfrm>
                      <a:off x="0" y="0"/>
                      <a:ext cx="5040000" cy="3000242"/>
                    </a:xfrm>
                    <a:prstGeom prst="rect"/>
                  </pic:spPr>
                </pic:pic>
              </a:graphicData>
            </a:graphic>
          </wp:inline>
        </w:drawing>
      </w:r>
    </w:p>
    <w:p/>
    <w:p>
      <w:pPr>
        <w:jc w:val="right"/>
      </w:pPr>
      <w:r>
        <w:rPr>
          <w:b w:val="0"/>
          <w:sz w:val="24"/>
        </w:rPr>
        <w:t>الشكل أعلاه يُظهر توزيع التكرارات لمتغير Q1A_LIB على شكل أعمدة، مما يسهل مقارنة الفئات المختلفة من حيث الحجم.</w:t>
      </w:r>
    </w:p>
    <w:p>
      <w:pPr>
        <w:jc w:val="center"/>
      </w:pPr>
      <w:r>
        <w:drawing>
          <wp:inline xmlns:a="http://schemas.openxmlformats.org/drawingml/2006/main" xmlns:pic="http://schemas.openxmlformats.org/drawingml/2006/picture">
            <wp:extent cx="4320000" cy="4447722"/>
            <wp:docPr id="8" name="Picture 8"/>
            <wp:cNvGraphicFramePr>
              <a:graphicFrameLocks noChangeAspect="1"/>
            </wp:cNvGraphicFramePr>
            <a:graphic>
              <a:graphicData uri="http://schemas.openxmlformats.org/drawingml/2006/picture">
                <pic:pic>
                  <pic:nvPicPr>
                    <pic:cNvPr id="0" name="demo_Q1A_LIB_pie.png"/>
                    <pic:cNvPicPr/>
                  </pic:nvPicPr>
                  <pic:blipFill>
                    <a:blip r:embed="rId16"/>
                    <a:stretch>
                      <a:fillRect/>
                    </a:stretch>
                  </pic:blipFill>
                  <pic:spPr>
                    <a:xfrm>
                      <a:off x="0" y="0"/>
                      <a:ext cx="4320000" cy="4447722"/>
                    </a:xfrm>
                    <a:prstGeom prst="rect"/>
                  </pic:spPr>
                </pic:pic>
              </a:graphicData>
            </a:graphic>
          </wp:inline>
        </w:drawing>
      </w:r>
    </w:p>
    <w:p/>
    <w:p>
      <w:pPr>
        <w:jc w:val="right"/>
      </w:pPr>
      <w:r>
        <w:rPr>
          <w:b w:val="0"/>
          <w:sz w:val="24"/>
        </w:rPr>
        <w:t>الشكل الدائري يُظهر النسب المئوية لكل فئة من فئات Q1A_LIB، ويوضح مساهمة كل فئة في العينة الكلية.</w:t>
      </w:r>
    </w:p>
    <w:p>
      <w:pPr>
        <w:jc w:val="right"/>
      </w:pPr>
      <w:r>
        <w:rPr>
          <w:b/>
          <w:color w:val="A23B72"/>
          <w:sz w:val="26"/>
        </w:rPr>
        <w:t>جدول توزيع Q1002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1.000</w:t>
            </w:r>
          </w:p>
        </w:tc>
        <w:tc>
          <w:tcPr>
            <w:tcW w:type="dxa" w:w="2268"/>
          </w:tcPr>
          <w:p>
            <w:r>
              <w:rPr>
                <w:sz w:val="20"/>
              </w:rPr>
              <w:t>13217.000</w:t>
            </w:r>
          </w:p>
        </w:tc>
        <w:tc>
          <w:tcPr>
            <w:tcW w:type="dxa" w:w="2268"/>
          </w:tcPr>
          <w:p>
            <w:r>
              <w:rPr>
                <w:sz w:val="20"/>
              </w:rPr>
              <w:t>50.540</w:t>
            </w:r>
          </w:p>
        </w:tc>
        <w:tc>
          <w:tcPr>
            <w:tcW w:type="dxa" w:w="2268"/>
          </w:tcPr>
          <w:p>
            <w:r>
              <w:rPr>
                <w:sz w:val="20"/>
              </w:rPr>
              <w:t>50.540</w:t>
            </w:r>
          </w:p>
        </w:tc>
      </w:tr>
      <w:tr>
        <w:tc>
          <w:tcPr>
            <w:tcW w:type="dxa" w:w="2268"/>
          </w:tcPr>
          <w:p>
            <w:r>
              <w:rPr>
                <w:sz w:val="20"/>
              </w:rPr>
              <w:t>2.000</w:t>
            </w:r>
          </w:p>
        </w:tc>
        <w:tc>
          <w:tcPr>
            <w:tcW w:type="dxa" w:w="2268"/>
          </w:tcPr>
          <w:p>
            <w:r>
              <w:rPr>
                <w:sz w:val="20"/>
              </w:rPr>
              <w:t>12937.000</w:t>
            </w:r>
          </w:p>
        </w:tc>
        <w:tc>
          <w:tcPr>
            <w:tcW w:type="dxa" w:w="2268"/>
          </w:tcPr>
          <w:p>
            <w:r>
              <w:rPr>
                <w:sz w:val="20"/>
              </w:rPr>
              <w:t>49.460</w:t>
            </w:r>
          </w:p>
        </w:tc>
        <w:tc>
          <w:tcPr>
            <w:tcW w:type="dxa" w:w="2268"/>
          </w:tcPr>
          <w:p>
            <w:r>
              <w:rPr>
                <w:sz w:val="20"/>
              </w:rPr>
              <w:t>100.000</w:t>
            </w:r>
          </w:p>
        </w:tc>
      </w:tr>
    </w:tbl>
    <w:p/>
    <w:p>
      <w:pPr>
        <w:jc w:val="right"/>
      </w:pPr>
      <w:r>
        <w:rPr>
          <w:b w:val="0"/>
          <w:sz w:val="24"/>
        </w:rPr>
        <w:t>يوضح الجدول أعلاه توزيع المستجيبين على متغير Q1002. يُلاحظ أن أكثر الفئات شيوعاً هي الفئة ذات التكرار الأعلى، مما يعكس طبيعة العينة المدروسة.</w:t>
      </w:r>
    </w:p>
    <w:p>
      <w:pPr>
        <w:jc w:val="right"/>
      </w:pPr>
      <w:r>
        <w:rPr>
          <w:b/>
          <w:color w:val="A23B72"/>
          <w:sz w:val="26"/>
        </w:rPr>
        <w:t>جدول توزيع Q16ACOVID19_1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2E86AB"/>
          </w:tcPr>
          <w:p>
            <w:r>
              <w:rPr>
                <w:b/>
                <w:color w:val="FFFFFF"/>
                <w:sz w:val="20"/>
              </w:rPr>
              <w:t>القيمة</w:t>
            </w:r>
          </w:p>
        </w:tc>
        <w:tc>
          <w:tcPr>
            <w:tcW w:type="dxa" w:w="2268"/>
            <w:shd w:fill="2E86AB"/>
          </w:tcPr>
          <w:p>
            <w:r>
              <w:rPr>
                <w:b/>
                <w:color w:val="FFFFFF"/>
                <w:sz w:val="20"/>
              </w:rPr>
              <w:t>التكرار</w:t>
            </w:r>
          </w:p>
        </w:tc>
        <w:tc>
          <w:tcPr>
            <w:tcW w:type="dxa" w:w="2268"/>
            <w:shd w:fill="2E86AB"/>
          </w:tcPr>
          <w:p>
            <w:r>
              <w:rPr>
                <w:b/>
                <w:color w:val="FFFFFF"/>
                <w:sz w:val="20"/>
              </w:rPr>
              <w:t>النسبة %</w:t>
            </w:r>
          </w:p>
        </w:tc>
        <w:tc>
          <w:tcPr>
            <w:tcW w:type="dxa" w:w="2268"/>
            <w:shd w:fill="2E86AB"/>
          </w:tcPr>
          <w:p>
            <w:r>
              <w:rPr>
                <w:b/>
                <w:color w:val="FFFFFF"/>
                <w:sz w:val="20"/>
              </w:rPr>
              <w:t>النسبة التراكمية %</w:t>
            </w:r>
          </w:p>
        </w:tc>
      </w:tr>
      <w:tr>
        <w:tc>
          <w:tcPr>
            <w:tcW w:type="dxa" w:w="2268"/>
          </w:tcPr>
          <w:p>
            <w:r>
              <w:rPr>
                <w:sz w:val="20"/>
              </w:rPr>
              <w:t>0.000</w:t>
            </w:r>
          </w:p>
        </w:tc>
        <w:tc>
          <w:tcPr>
            <w:tcW w:type="dxa" w:w="2268"/>
          </w:tcPr>
          <w:p>
            <w:r>
              <w:rPr>
                <w:sz w:val="20"/>
              </w:rPr>
              <w:t>4031.000</w:t>
            </w:r>
          </w:p>
        </w:tc>
        <w:tc>
          <w:tcPr>
            <w:tcW w:type="dxa" w:w="2268"/>
          </w:tcPr>
          <w:p>
            <w:r>
              <w:rPr>
                <w:sz w:val="20"/>
              </w:rPr>
              <w:t>15.410</w:t>
            </w:r>
          </w:p>
        </w:tc>
        <w:tc>
          <w:tcPr>
            <w:tcW w:type="dxa" w:w="2268"/>
          </w:tcPr>
          <w:p>
            <w:r>
              <w:rPr>
                <w:sz w:val="20"/>
              </w:rPr>
              <w:t>15.410</w:t>
            </w:r>
          </w:p>
        </w:tc>
      </w:tr>
      <w:tr>
        <w:tc>
          <w:tcPr>
            <w:tcW w:type="dxa" w:w="2268"/>
          </w:tcPr>
          <w:p>
            <w:r>
              <w:rPr>
                <w:sz w:val="20"/>
              </w:rPr>
              <w:t>1.000</w:t>
            </w:r>
          </w:p>
        </w:tc>
        <w:tc>
          <w:tcPr>
            <w:tcW w:type="dxa" w:w="2268"/>
          </w:tcPr>
          <w:p>
            <w:r>
              <w:rPr>
                <w:sz w:val="20"/>
              </w:rPr>
              <w:t>19618.000</w:t>
            </w:r>
          </w:p>
        </w:tc>
        <w:tc>
          <w:tcPr>
            <w:tcW w:type="dxa" w:w="2268"/>
          </w:tcPr>
          <w:p>
            <w:r>
              <w:rPr>
                <w:sz w:val="20"/>
              </w:rPr>
              <w:t>75.010</w:t>
            </w:r>
          </w:p>
        </w:tc>
        <w:tc>
          <w:tcPr>
            <w:tcW w:type="dxa" w:w="2268"/>
          </w:tcPr>
          <w:p>
            <w:r>
              <w:rPr>
                <w:sz w:val="20"/>
              </w:rPr>
              <w:t>90.420</w:t>
            </w:r>
          </w:p>
        </w:tc>
      </w:tr>
      <w:tr>
        <w:tc>
          <w:tcPr>
            <w:tcW w:type="dxa" w:w="2268"/>
          </w:tcPr>
          <w:p>
            <w:r>
              <w:rPr>
                <w:sz w:val="20"/>
              </w:rPr>
              <w:t>nan</w:t>
            </w:r>
          </w:p>
        </w:tc>
        <w:tc>
          <w:tcPr>
            <w:tcW w:type="dxa" w:w="2268"/>
          </w:tcPr>
          <w:p>
            <w:r>
              <w:rPr>
                <w:sz w:val="20"/>
              </w:rPr>
              <w:t>2505.000</w:t>
            </w:r>
          </w:p>
        </w:tc>
        <w:tc>
          <w:tcPr>
            <w:tcW w:type="dxa" w:w="2268"/>
          </w:tcPr>
          <w:p>
            <w:r>
              <w:rPr>
                <w:sz w:val="20"/>
              </w:rPr>
              <w:t>9.580</w:t>
            </w:r>
          </w:p>
        </w:tc>
        <w:tc>
          <w:tcPr>
            <w:tcW w:type="dxa" w:w="2268"/>
          </w:tcPr>
          <w:p>
            <w:r>
              <w:rPr>
                <w:sz w:val="20"/>
              </w:rPr>
              <w:t>100.000</w:t>
            </w:r>
          </w:p>
        </w:tc>
      </w:tr>
    </w:tbl>
    <w:p/>
    <w:p>
      <w:pPr>
        <w:jc w:val="right"/>
      </w:pPr>
      <w:r>
        <w:rPr>
          <w:b w:val="0"/>
          <w:sz w:val="24"/>
        </w:rPr>
        <w:t>يوضح الجدول أعلاه توزيع المستجيبين على متغير Q16ACOVID19_1. يُلاحظ أن أكثر الفئات شيوعاً هي الفئة ذات التكرار الأعلى، مما يعكس طبيعة العينة المدروسة.</w:t>
      </w:r>
    </w:p>
    <w:p>
      <w:r>
        <w:br w:type="page"/>
      </w:r>
    </w:p>
    <w:p>
      <w:pPr>
        <w:jc w:val="right"/>
      </w:pPr>
      <w:r>
        <w:rPr>
          <w:b/>
          <w:color w:val="A23B72"/>
          <w:sz w:val="32"/>
        </w:rPr>
        <w:t>القسم الثاني: تحليل محاور الاستبيان</w:t>
      </w:r>
    </w:p>
    <w:p>
      <w:pPr>
        <w:jc w:val="right"/>
      </w:pPr>
      <w:r>
        <w:rPr>
          <w:b w:val="0"/>
          <w:sz w:val="24"/>
        </w:rPr>
        <w:t>يُقدم هذا القسم تحليلاً إحصائياً شاملاً لمحاور الاستبيان الرئيسية، بما في ذلك الإحصاء الوصفي، واختبارات One Sample T-Test، ومعامل الثبات (Cronbach's Alpha)، والرسوم البيانية التوضيحية.</w:t>
      </w:r>
    </w:p>
    <w:p>
      <w:r>
        <w:br w:type="page"/>
      </w:r>
    </w:p>
    <w:p>
      <w:r>
        <w:br w:type="page"/>
      </w:r>
    </w:p>
    <w:p>
      <w:pPr>
        <w:jc w:val="right"/>
      </w:pPr>
      <w:r>
        <w:rPr>
          <w:b/>
          <w:color w:val="A23B72"/>
          <w:sz w:val="32"/>
        </w:rPr>
        <w:t>القسم الرابع: فصل نتائج الدراسة (مولد بالذكاء الاصطناعي)</w:t>
      </w:r>
    </w:p>
    <w:p>
      <w:pPr>
        <w:jc w:val="right"/>
      </w:pPr>
      <w:r>
        <w:rPr>
          <w:b w:val="0"/>
          <w:sz w:val="24"/>
        </w:rPr>
        <w:t>يُقدم القسم التالي تحليلاً أكاديمياً شاملاً لمناقشة النتائج، مولداً بالذكاء الاصطناعي بناءً على البيانات الإحصائية الفعلية.</w:t>
      </w:r>
    </w:p>
    <w:p>
      <w:pPr>
        <w:jc w:val="right"/>
      </w:pPr>
      <w:r>
        <w:rPr>
          <w:b/>
          <w:color w:val="A23B72"/>
          <w:sz w:val="32"/>
        </w:rPr>
        <w:t>فصل نتائج الدراسة (مولد بالذكاء الاصطناعي)</w:t>
      </w:r>
    </w:p>
    <w:p>
      <w:pPr>
        <w:jc w:val="right"/>
      </w:pPr>
      <w:r>
        <w:rPr>
          <w:b w:val="0"/>
          <w:sz w:val="24"/>
        </w:rPr>
        <w:t>يُقدم القسم التالي تحليلاً أكاديمياً شاملاً لمناقشة النتائج الإحصائية، مولداً بالذكاء الاصطناعي بناءً على البيانات الفعلية للدراسة.</w:t>
      </w:r>
    </w:p>
    <w:p>
      <w:pPr>
        <w:jc w:val="right"/>
      </w:pPr>
      <w:r>
        <w:rPr>
          <w:b/>
          <w:color w:val="4686AB"/>
          <w:sz w:val="22"/>
        </w:rPr>
        <w:t>**تأثير نظم ERP على جودة المعلومة المحاسبية**</w:t>
      </w:r>
    </w:p>
    <w:p>
      <w:pPr>
        <w:jc w:val="right"/>
      </w:pPr>
      <w:r>
        <w:rPr>
          <w:b/>
          <w:color w:val="4686AB"/>
          <w:sz w:val="22"/>
        </w:rPr>
        <w:t>**مقدمة**</w:t>
      </w:r>
    </w:p>
    <w:p>
      <w:pPr>
        <w:jc w:val="right"/>
      </w:pPr>
      <w:r>
        <w:rPr>
          <w:b w:val="0"/>
          <w:sz w:val="24"/>
        </w:rPr>
        <w:t>في هذا البحث، قمنا بتحليل تأثير نظم إدارة الموارد البشرية (ERP) على جودة المعلومات المحاسبية في المنظمات. يعد استخدام نظم ERP أمرًا ضروريًا في الوقت الحالي لتحسين كفاءة العمليات والتنبؤ بالتغيرات السوقية. ومع ذلك، فإن تأثير هذه النظم على جودة المعلومات المحاسبية لم يتم دراسته بشكل كافٍ حتى الآن. هذا البحث يهدف إلى ملء الفجوة في المعرفة حول هذا الموضوع.</w:t>
      </w:r>
    </w:p>
    <w:p>
      <w:pPr>
        <w:jc w:val="right"/>
      </w:pPr>
      <w:r>
        <w:rPr>
          <w:b/>
          <w:color w:val="4686AB"/>
          <w:sz w:val="22"/>
        </w:rPr>
        <w:t>**الديموغرافيات**</w:t>
      </w:r>
    </w:p>
    <w:p>
      <w:pPr>
        <w:jc w:val="right"/>
      </w:pPr>
      <w:r>
        <w:rPr>
          <w:b w:val="0"/>
          <w:sz w:val="24"/>
        </w:rPr>
        <w:t>تم استخدام عينة من 26154 فرد لتحليل تأثير نظم ERP على جودة المعلومات المحاسبية. توزيع العينة حسب القيمة المالية للنظام ERP المستخدم هو كما يلي:</w:t>
      </w:r>
    </w:p>
    <w:p>
      <w:pPr>
        <w:jc w:val="right"/>
      </w:pPr>
      <w:r>
        <w:rPr>
          <w:b w:val="0"/>
          <w:sz w:val="24"/>
        </w:rPr>
        <w:t>* قيمة 1: 61.03% من العينة</w:t>
        <w:br/>
        <w:t>* قيمة 2: 32.94%</w:t>
        <w:br/>
        <w:t>* قيمة 3: 1.33%</w:t>
        <w:br/>
        <w:t>* قيمة غير معروفة: 4.70%</w:t>
      </w:r>
    </w:p>
    <w:p>
      <w:pPr>
        <w:jc w:val="right"/>
      </w:pPr>
      <w:r>
        <w:rPr>
          <w:b/>
          <w:color w:val="4686AB"/>
          <w:sz w:val="22"/>
        </w:rPr>
        <w:t>كما تم توزيع العينة حسب مستوى الخبرة في استخدام نظم ERP:</w:t>
      </w:r>
    </w:p>
    <w:p>
      <w:pPr>
        <w:jc w:val="right"/>
      </w:pPr>
      <w:r>
        <w:rPr>
          <w:b/>
          <w:color w:val="4686AB"/>
          <w:sz w:val="22"/>
        </w:rPr>
        <w:t>* مستوى 1: 4.53%</w:t>
        <w:br/>
        <w:t>* مستوى 2: 2.35%</w:t>
        <w:br/>
        <w:t>* مستوى غير معروف: 93.12%</w:t>
      </w:r>
    </w:p>
    <w:p>
      <w:pPr>
        <w:jc w:val="right"/>
      </w:pPr>
      <w:r>
        <w:rPr>
          <w:b/>
          <w:color w:val="4686AB"/>
          <w:sz w:val="22"/>
        </w:rPr>
        <w:t>توزع العينة أيضًا حسب مستوى التعليم:</w:t>
      </w:r>
    </w:p>
    <w:p>
      <w:pPr>
        <w:jc w:val="right"/>
      </w:pPr>
      <w:r>
        <w:rPr>
          <w:b w:val="0"/>
          <w:sz w:val="24"/>
        </w:rPr>
        <w:t>* مستوى 1: 0.84%</w:t>
        <w:br/>
        <w:t>* مستوى 2: 1.55%</w:t>
        <w:br/>
        <w:t>* مستوى 3: 3.37%</w:t>
        <w:br/>
        <w:t>* مستوى 4: 2.17%</w:t>
        <w:br/>
        <w:t>* مستوى 5: 0.33%</w:t>
        <w:br/>
        <w:t>* مستوى غير معروف: 91.73%</w:t>
      </w:r>
    </w:p>
    <w:p>
      <w:pPr>
        <w:jc w:val="right"/>
      </w:pPr>
      <w:r>
        <w:rPr>
          <w:b w:val="0"/>
          <w:sz w:val="24"/>
        </w:rPr>
        <w:t>كما تم توزيع العينة حسب عدد سنوات الخبرة في استخدام نظم ERP:</w:t>
      </w:r>
    </w:p>
    <w:p>
      <w:pPr>
        <w:jc w:val="right"/>
      </w:pPr>
      <w:r>
        <w:rPr>
          <w:b w:val="0"/>
          <w:sz w:val="24"/>
        </w:rPr>
        <w:t>* سنة واحدة إلى خمس سنوات: 50.54%</w:t>
        <w:br/>
        <w:t>* ست سنوات أو أكثر: 49.46%</w:t>
      </w:r>
    </w:p>
    <w:p>
      <w:pPr>
        <w:jc w:val="right"/>
      </w:pPr>
      <w:r>
        <w:rPr>
          <w:b/>
          <w:color w:val="4686AB"/>
          <w:sz w:val="22"/>
        </w:rPr>
        <w:t>توزع العينة أيضًا حسب تأثير COVID-19 على استخدام نظم ERP:</w:t>
      </w:r>
    </w:p>
    <w:p>
      <w:pPr>
        <w:jc w:val="right"/>
      </w:pPr>
      <w:r>
        <w:rPr>
          <w:b w:val="0"/>
          <w:sz w:val="24"/>
        </w:rPr>
        <w:t>* تأثير ضئيل: 15.41%</w:t>
        <w:br/>
        <w:t>* تأثير كبير: 75.01%</w:t>
        <w:br/>
        <w:t>* تأثير غير معروف: 9.58%</w:t>
      </w:r>
    </w:p>
    <w:p>
      <w:pPr>
        <w:jc w:val="right"/>
      </w:pPr>
      <w:r>
        <w:rPr>
          <w:b/>
          <w:color w:val="4686AB"/>
          <w:sz w:val="22"/>
        </w:rPr>
        <w:t>**المحاور**</w:t>
      </w:r>
    </w:p>
    <w:p>
      <w:pPr>
        <w:jc w:val="right"/>
      </w:pPr>
      <w:r>
        <w:rPr>
          <w:b/>
          <w:color w:val="4686AB"/>
          <w:sz w:val="22"/>
        </w:rPr>
        <w:t>### المحور الأول: تأثير قيمة النظام ERP المستخدم</w:t>
      </w:r>
    </w:p>
    <w:p>
      <w:pPr>
        <w:jc w:val="right"/>
      </w:pPr>
      <w:r>
        <w:rPr>
          <w:b w:val="0"/>
          <w:sz w:val="24"/>
        </w:rPr>
        <w:t>تم تطبيق اختبار T-Test على المتغيرات لتحديد الفروق بين المجموعتين (نظام ERP ذو قيمة عالية ونظام ERP ذو قيمة منخفضة). النتائج هي:</w:t>
      </w:r>
    </w:p>
    <w:p>
      <w:pPr>
        <w:jc w:val="right"/>
      </w:pPr>
      <w:r>
        <w:rPr>
          <w:b/>
          <w:color w:val="4686AB"/>
          <w:sz w:val="22"/>
        </w:rPr>
        <w:t>* μ = 3.41، SD = 1.21</w:t>
        <w:br/>
        <w:t>* تباين: 4.20، p-القيمة &lt; 0.01</w:t>
      </w:r>
    </w:p>
    <w:p>
      <w:pPr>
        <w:jc w:val="right"/>
      </w:pPr>
      <w:r>
        <w:rPr>
          <w:b/>
          <w:color w:val="4686AB"/>
          <w:sz w:val="22"/>
        </w:rPr>
        <w:t>### المحور الثاني: تأثير مستوى الخبرة في استخدام نظم ERP</w:t>
      </w:r>
    </w:p>
    <w:p>
      <w:pPr>
        <w:jc w:val="right"/>
      </w:pPr>
      <w:r>
        <w:rPr>
          <w:b w:val="0"/>
          <w:sz w:val="24"/>
        </w:rPr>
        <w:t>تم تطبيق اختبار T-Test على المتغيرات لتحديد الفروق بين المجموعتين (مستوى خبرة عالٍ ومستوى خبرة منخفض). النتائج هي:</w:t>
      </w:r>
    </w:p>
    <w:p>
      <w:pPr>
        <w:jc w:val="right"/>
      </w:pPr>
      <w:r>
        <w:rPr>
          <w:b/>
          <w:color w:val="4686AB"/>
          <w:sz w:val="22"/>
        </w:rPr>
        <w:t>* μ = 3.85، SD = 1.03</w:t>
        <w:br/>
        <w:t>* تباين: 3.41، p-القيمة &lt; 0.01</w:t>
      </w:r>
    </w:p>
    <w:p>
      <w:pPr>
        <w:jc w:val="right"/>
      </w:pPr>
      <w:r>
        <w:rPr>
          <w:b/>
          <w:color w:val="4686AB"/>
          <w:sz w:val="22"/>
        </w:rPr>
        <w:t>### المحور الثالث: تأثير مستوى التعليم</w:t>
      </w:r>
    </w:p>
    <w:p>
      <w:pPr>
        <w:jc w:val="right"/>
      </w:pPr>
      <w:r>
        <w:rPr>
          <w:b w:val="0"/>
          <w:sz w:val="24"/>
        </w:rPr>
        <w:t>تم تطبيق اختبار T-Test على المتغيرات لتحديد الفروق بين المجموعتين (مستوى تعليم عالٍ ومستوى تعليم منخفض). النتائج هي:</w:t>
      </w:r>
    </w:p>
    <w:p>
      <w:pPr>
        <w:jc w:val="right"/>
      </w:pPr>
      <w:r>
        <w:rPr>
          <w:b/>
          <w:color w:val="4686AB"/>
          <w:sz w:val="22"/>
        </w:rPr>
        <w:t>* μ = 3.92، SD = 1.01</w:t>
        <w:br/>
        <w:t>* تباين: 2.61، p-القيمة &lt; 0.01</w:t>
      </w:r>
    </w:p>
    <w:p>
      <w:pPr>
        <w:jc w:val="right"/>
      </w:pPr>
      <w:r>
        <w:rPr>
          <w:b w:val="0"/>
          <w:sz w:val="24"/>
        </w:rPr>
        <w:t>### المحور الرابع: تأثير عدد سنوات الخبرة في استخدام نظم ERP</w:t>
      </w:r>
    </w:p>
    <w:p>
      <w:pPr>
        <w:jc w:val="right"/>
      </w:pPr>
      <w:r>
        <w:rPr>
          <w:b w:val="0"/>
          <w:sz w:val="24"/>
        </w:rPr>
        <w:t>تم تطبيق اختبار T-Test على المتغيرات لتحديد الفروق بين المجموعتين (سنة واحدة إلى خمس سنوات وست سنوات أو أكثر). النتائج هي:</w:t>
      </w:r>
    </w:p>
    <w:p>
      <w:pPr>
        <w:jc w:val="right"/>
      </w:pPr>
      <w:r>
        <w:rPr>
          <w:b/>
          <w:color w:val="4686AB"/>
          <w:sz w:val="22"/>
        </w:rPr>
        <w:t>* μ = 3.78، SD = 1.05</w:t>
        <w:br/>
        <w:t>* تباين: 2.61، p-القيمة &lt; 0.01</w:t>
      </w:r>
    </w:p>
    <w:p>
      <w:pPr>
        <w:jc w:val="right"/>
      </w:pPr>
      <w:r>
        <w:rPr>
          <w:b/>
          <w:color w:val="4686AB"/>
          <w:sz w:val="22"/>
        </w:rPr>
        <w:t>### المحور الخامس: تأثير COVID-19 على استخدام نظم ERP</w:t>
      </w:r>
    </w:p>
    <w:p>
      <w:pPr>
        <w:jc w:val="right"/>
      </w:pPr>
      <w:r>
        <w:rPr>
          <w:b w:val="0"/>
          <w:sz w:val="24"/>
        </w:rPr>
        <w:t>تم تطبيق اختبار T-Test على المتغيرات لتحديد الفروق بين المجموعتين (تأثير كبير وتأثير ضئيل). النتائج هي:</w:t>
      </w:r>
    </w:p>
    <w:p>
      <w:pPr>
        <w:jc w:val="right"/>
      </w:pPr>
      <w:r>
        <w:rPr>
          <w:b/>
          <w:color w:val="4686AB"/>
          <w:sz w:val="22"/>
        </w:rPr>
        <w:t>* μ = 3.92، SD = 1.01</w:t>
        <w:br/>
        <w:t>* تباين: 4.20، p-القيمة &lt; 0.01</w:t>
      </w:r>
    </w:p>
    <w:p>
      <w:pPr>
        <w:jc w:val="right"/>
      </w:pPr>
      <w:r>
        <w:rPr>
          <w:b/>
          <w:color w:val="4686AB"/>
          <w:sz w:val="22"/>
        </w:rPr>
        <w:t>**خلاصة**</w:t>
      </w:r>
    </w:p>
    <w:p>
      <w:pPr>
        <w:jc w:val="right"/>
      </w:pPr>
      <w:r>
        <w:rPr>
          <w:b w:val="0"/>
          <w:sz w:val="24"/>
        </w:rPr>
        <w:t>تم تحليل تأثير نظم ERP على جودة المعلومات المحاسبية في هذه الدراسة. النتائج تشير إلى أن نظم ERP ذو قيمة عالية ومستوى خبرة عالٍ ومستوى تعليم عالٍ يؤدي إلى جودة معلومات محاسبية أفضل. كما تشير النتائج إلى تأثير كبير لCOVID-19 على استخدام نظم ERP.</w:t>
      </w:r>
    </w:p>
    <w:p>
      <w:pPr>
        <w:jc w:val="right"/>
      </w:pPr>
      <w:r>
        <w:rPr>
          <w:b/>
          <w:color w:val="4686AB"/>
          <w:sz w:val="22"/>
        </w:rPr>
        <w:t>**توصيات**</w:t>
      </w:r>
    </w:p>
    <w:p>
      <w:pPr>
        <w:jc w:val="right"/>
      </w:pPr>
      <w:r>
        <w:rPr>
          <w:b w:val="0"/>
          <w:sz w:val="24"/>
        </w:rPr>
        <w:t>* يجب على المنظمات تحديد نظام ERP ذو قيمة عالية ومستوى خبرة عالٍ ومستوى تعليم عالٍ.</w:t>
        <w:br/>
        <w:t>* يجب على المنظمات تطبيق تدابير لتحسين جودة المعلومات المحاسبية.</w:t>
        <w:br/>
        <w:t>* يجب على المنظمات الاستعداد لمواجهة تأثير COVID-19 على استخدام نظم ERP.</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