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822C" w14:textId="77777777" w:rsidR="00A877AC" w:rsidRPr="00A877AC" w:rsidRDefault="00A877AC" w:rsidP="00A8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PROJECT: Telco Customer Intelligence Suite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</w:t>
      </w:r>
    </w:p>
    <w:p w14:paraId="4730C520" w14:textId="77777777" w:rsidR="00A877AC" w:rsidRPr="00A877AC" w:rsidRDefault="00A877AC" w:rsidP="00A8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DATE: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December 2025</w:t>
      </w:r>
    </w:p>
    <w:p w14:paraId="13125197" w14:textId="35074108" w:rsidR="00A877AC" w:rsidRPr="00A877AC" w:rsidRDefault="00A877AC" w:rsidP="00A8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AUTHOR: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Sidney Lawi</w:t>
      </w:r>
    </w:p>
    <w:p w14:paraId="7E457DE3" w14:textId="77777777" w:rsidR="00A877AC" w:rsidRPr="00A877AC" w:rsidRDefault="00A877AC" w:rsidP="00A8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</w:p>
    <w:p w14:paraId="40D0D0C4" w14:textId="725692AA" w:rsidR="00A877AC" w:rsidRPr="00A877AC" w:rsidRDefault="00A877AC" w:rsidP="00A8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EXECUTIVE SUMMARY</w:t>
      </w:r>
    </w:p>
    <w:p w14:paraId="25E5D0E9" w14:textId="344FAA82" w:rsidR="00A877AC" w:rsidRPr="00A877AC" w:rsidRDefault="00A877AC" w:rsidP="00A8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KE" w:eastAsia="en-KE"/>
          <w14:ligatures w14:val="none"/>
        </w:rPr>
        <w:t>1. Mission Objective</w:t>
      </w:r>
      <w:r w:rsidRPr="00A877AC">
        <w:rPr>
          <w:rFonts w:ascii="Times New Roman" w:eastAsia="Times New Roman" w:hAnsi="Times New Roman" w:cs="Times New Roman"/>
          <w:kern w:val="0"/>
          <w:sz w:val="32"/>
          <w:szCs w:val="32"/>
          <w:lang w:val="en-KE" w:eastAsia="en-KE"/>
          <w14:ligatures w14:val="none"/>
        </w:rPr>
        <w:t xml:space="preserve"> 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To diagnose the root causes of customer churn and identify high-value acquisition channels for Telco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>Company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>, utilizing a dataset of 7,000+ customers. The goal was to move beyond static reporting to predictive "Health Scores" that drive strategy.</w:t>
      </w:r>
    </w:p>
    <w:p w14:paraId="7C8C4F16" w14:textId="77777777" w:rsidR="00A877AC" w:rsidRPr="00A877AC" w:rsidRDefault="00A877AC" w:rsidP="00A8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KE" w:eastAsia="en-KE"/>
          <w14:ligatures w14:val="none"/>
        </w:rPr>
        <w:t>2. Key Findings</w:t>
      </w:r>
    </w:p>
    <w:p w14:paraId="2DC2F408" w14:textId="77777777" w:rsidR="00A877AC" w:rsidRPr="00A877AC" w:rsidRDefault="00A877AC" w:rsidP="00A87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Retention Crisis: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The current Churn Rate is </w:t>
      </w: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26.5%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, which is critically high. The primary driver is </w:t>
      </w: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Contract Type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>; customers on "Month-to-Month" contracts account for the overwhelming majority of churn events.</w:t>
      </w:r>
    </w:p>
    <w:p w14:paraId="2B18A642" w14:textId="77777777" w:rsidR="00A877AC" w:rsidRPr="00A877AC" w:rsidRDefault="00A877AC" w:rsidP="00A87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The "Churn Cliff":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Analysis of customer tenure reveals a severe drop-off in the first </w:t>
      </w: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1-6 months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. If a customer survives this initial period, their Average Tenure extends significantly (averaging </w:t>
      </w: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32.4 months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overall).</w:t>
      </w:r>
    </w:p>
    <w:p w14:paraId="6BAEF329" w14:textId="77777777" w:rsidR="00A877AC" w:rsidRPr="00A877AC" w:rsidRDefault="00A877AC" w:rsidP="00A87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Growth Quality: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While acquisition volume is steady, the </w:t>
      </w: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Growth Health Index (5.6/10)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indicates fragility. Growth is heavily reliant on lower-stability contracts. However, </w:t>
      </w: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Fiber Optic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customers represent a high-ARPU opportunity if their retention can be stabilized.</w:t>
      </w:r>
    </w:p>
    <w:p w14:paraId="31B36D26" w14:textId="77777777" w:rsidR="00A877AC" w:rsidRPr="00A877AC" w:rsidRDefault="00A877AC" w:rsidP="00A8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KE" w:eastAsia="en-KE"/>
          <w14:ligatures w14:val="none"/>
        </w:rPr>
        <w:t>3. Strategic Recommendations</w:t>
      </w:r>
    </w:p>
    <w:p w14:paraId="4B6F0B05" w14:textId="77777777" w:rsidR="00A877AC" w:rsidRPr="00A877AC" w:rsidRDefault="00A877AC" w:rsidP="00A87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Intervention Strategy: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Implement a "New Customer Onboarding" program specifically for the first 90 days to bridge the "Churn Cliff."</w:t>
      </w:r>
    </w:p>
    <w:p w14:paraId="7E068BD7" w14:textId="77777777" w:rsidR="00A877AC" w:rsidRPr="00A877AC" w:rsidRDefault="00A877AC" w:rsidP="00A87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Pricing Pivot: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Incentivize "Month-to-Month" customers to switch to 1-Year or 2-Year contracts. Even a 10% conversion rate here would drastically reduce the 26.5% churn rate.</w:t>
      </w:r>
    </w:p>
    <w:p w14:paraId="5C2FACD1" w14:textId="77777777" w:rsidR="00A877AC" w:rsidRPr="00A877AC" w:rsidRDefault="00A877AC" w:rsidP="00A87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</w:pP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Targeted Acquisition: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Focus marketing spend on </w:t>
      </w:r>
      <w:r w:rsidRPr="00A877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KE" w:eastAsia="en-KE"/>
          <w14:ligatures w14:val="none"/>
        </w:rPr>
        <w:t>Fiber Optic</w:t>
      </w:r>
      <w:r w:rsidRPr="00A877AC">
        <w:rPr>
          <w:rFonts w:ascii="Times New Roman" w:eastAsia="Times New Roman" w:hAnsi="Times New Roman" w:cs="Times New Roman"/>
          <w:kern w:val="0"/>
          <w:sz w:val="28"/>
          <w:szCs w:val="28"/>
          <w:lang w:val="en-KE" w:eastAsia="en-KE"/>
          <w14:ligatures w14:val="none"/>
        </w:rPr>
        <w:t xml:space="preserve"> users (highest ARPU) but bundle it with mandatory service checks to prevent the high dissatisfaction churn seen in that segment.</w:t>
      </w:r>
    </w:p>
    <w:p w14:paraId="04C0BD5E" w14:textId="77777777" w:rsidR="008B176F" w:rsidRPr="00A877AC" w:rsidRDefault="008B176F">
      <w:pPr>
        <w:rPr>
          <w:sz w:val="28"/>
          <w:szCs w:val="28"/>
        </w:rPr>
      </w:pPr>
    </w:p>
    <w:sectPr w:rsidR="008B176F" w:rsidRPr="00A87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2B59"/>
    <w:multiLevelType w:val="multilevel"/>
    <w:tmpl w:val="E38E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62075"/>
    <w:multiLevelType w:val="multilevel"/>
    <w:tmpl w:val="A084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23145"/>
    <w:multiLevelType w:val="multilevel"/>
    <w:tmpl w:val="C8A2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40916"/>
    <w:multiLevelType w:val="multilevel"/>
    <w:tmpl w:val="A41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D012D"/>
    <w:multiLevelType w:val="multilevel"/>
    <w:tmpl w:val="B954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7608F"/>
    <w:multiLevelType w:val="multilevel"/>
    <w:tmpl w:val="28C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D090C"/>
    <w:multiLevelType w:val="multilevel"/>
    <w:tmpl w:val="96B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342CF"/>
    <w:multiLevelType w:val="multilevel"/>
    <w:tmpl w:val="84F0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0C28A9"/>
    <w:multiLevelType w:val="multilevel"/>
    <w:tmpl w:val="48B4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267815">
    <w:abstractNumId w:val="0"/>
  </w:num>
  <w:num w:numId="2" w16cid:durableId="750587310">
    <w:abstractNumId w:val="5"/>
  </w:num>
  <w:num w:numId="3" w16cid:durableId="959646001">
    <w:abstractNumId w:val="7"/>
  </w:num>
  <w:num w:numId="4" w16cid:durableId="1792430654">
    <w:abstractNumId w:val="3"/>
  </w:num>
  <w:num w:numId="5" w16cid:durableId="720321441">
    <w:abstractNumId w:val="6"/>
  </w:num>
  <w:num w:numId="6" w16cid:durableId="2077432057">
    <w:abstractNumId w:val="4"/>
  </w:num>
  <w:num w:numId="7" w16cid:durableId="149176896">
    <w:abstractNumId w:val="1"/>
  </w:num>
  <w:num w:numId="8" w16cid:durableId="880702821">
    <w:abstractNumId w:val="2"/>
  </w:num>
  <w:num w:numId="9" w16cid:durableId="107695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AC"/>
    <w:rsid w:val="00185B24"/>
    <w:rsid w:val="008B176F"/>
    <w:rsid w:val="009223DB"/>
    <w:rsid w:val="00A877AC"/>
    <w:rsid w:val="00F9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3BC9"/>
  <w15:chartTrackingRefBased/>
  <w15:docId w15:val="{A8FB9D3E-767A-4276-846D-59B98948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Lawi</dc:creator>
  <cp:keywords/>
  <dc:description/>
  <cp:lastModifiedBy>Sydney Lawi</cp:lastModifiedBy>
  <cp:revision>2</cp:revision>
  <dcterms:created xsi:type="dcterms:W3CDTF">2025-12-16T15:38:00Z</dcterms:created>
  <dcterms:modified xsi:type="dcterms:W3CDTF">2025-12-16T15:38:00Z</dcterms:modified>
</cp:coreProperties>
</file>