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r>
      <w:r w:rsidDel="00000000" w:rsidR="00000000" w:rsidRPr="00000000">
        <w:rPr>
          <w:rtl w:val="0"/>
        </w:rPr>
        <w:t xml:space="preserve"> Feature Roadmap for Q3–Q4: Improving Product Scalability and User Personalization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 This roadmap outlines key feature enhancements and new product capabilities planned for Q3 and Q4. The primary goals are to improve scalability, offer a more personalized user experience, and expand integration flexibility for enterprise customers. Each feature listed here includes projected impact, implementation details, and timeline estimates. This document is used internally to communicate priorities and externally (in summarized form) to customers interested in product direction.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Q3 Initiatives: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Scalable Webhook Infrastructure</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Improve event-driven integrations by revamping our webhook engine.</w:t>
        <w:br w:type="textWrapping"/>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Current webhook limits are capped at 50 concurrent events per tenant. This will be upgraded to support 500 concurrent events using an event-streaming backend (Kafka) with auto-retry and backoff mechanisms.</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Customers using real-time order and transaction workflows will experience lower latency and higher delivery reliability.</w:t>
        <w:br w:type="textWrapping"/>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ETA:</w:t>
      </w:r>
      <w:r w:rsidDel="00000000" w:rsidR="00000000" w:rsidRPr="00000000">
        <w:rPr>
          <w:rtl w:val="0"/>
        </w:rPr>
        <w:t xml:space="preserve"> Mid-July</w:t>
        <w:br w:type="textWrapping"/>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Custom Roles and Permission Groups</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Introduce finer-grained access control beyond Admin, Viewer, and Editor roles.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Customers will be able to create custom permission sets (e.g., Billing Admin, Data Analyst), associate them with groups, and audit activity logs.</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Enterprises can align user access with compliance requirements and internal governance.</w:t>
        <w:br w:type="textWrapping"/>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b w:val="1"/>
          <w:rtl w:val="0"/>
        </w:rPr>
        <w:t xml:space="preserve">ETA:</w:t>
      </w:r>
      <w:r w:rsidDel="00000000" w:rsidR="00000000" w:rsidRPr="00000000">
        <w:rPr>
          <w:rtl w:val="0"/>
        </w:rPr>
        <w:t xml:space="preserve"> Late August</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Dynamic Language Preferences per User</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Allow multi-language product interfaces within a single tenant.</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Users will be able to choose their preferred interface language at the profile level, enabling global teams to work in localized UIs simultaneously.</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Enhanced usability for multi-national companies, especially in Europe and Southeast Asia.</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ETA:</w:t>
      </w:r>
      <w:r w:rsidDel="00000000" w:rsidR="00000000" w:rsidRPr="00000000">
        <w:rPr>
          <w:rtl w:val="0"/>
        </w:rPr>
        <w:t xml:space="preserve"> Early September</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Q4 Initiatives: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1. Feature Flag Management Console</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Enable customers to control feature rollouts via a self-service dashboard.</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Admins will be able to toggle experimental features for subsets of users or environments.</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Safer rollout of beta features, better control over new experiences.</w:t>
        <w:br w:type="textWrapping"/>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ETA:</w:t>
      </w:r>
      <w:r w:rsidDel="00000000" w:rsidR="00000000" w:rsidRPr="00000000">
        <w:rPr>
          <w:rtl w:val="0"/>
        </w:rPr>
        <w:t xml:space="preserve"> October</w:t>
        <w:br w:type="textWrapping"/>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2. Analytics API v2</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Enhance our analytics API with better query performance and schema flexibility.</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Supports grouped aggregations, timezone transformations, and multi-dimensional filters.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Teams can build richer dashboards with less post-processing.</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ETA:</w:t>
      </w:r>
      <w:r w:rsidDel="00000000" w:rsidR="00000000" w:rsidRPr="00000000">
        <w:rPr>
          <w:rtl w:val="0"/>
        </w:rPr>
        <w:t xml:space="preserve"> November</w:t>
        <w:br w:type="textWrapping"/>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 AI-Aided Search Suggestions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Improve in-app search using embeddings and usage-based re-ranking.</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The search bar will now return AI-driven suggestions based on prior user behavior and semantic similarity.</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Faster access to relevant documents and workflows.</w:t>
        <w:br w:type="textWrapping"/>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b w:val="1"/>
          <w:rtl w:val="0"/>
        </w:rPr>
        <w:t xml:space="preserve">ETA:</w:t>
      </w:r>
      <w:r w:rsidDel="00000000" w:rsidR="00000000" w:rsidRPr="00000000">
        <w:rPr>
          <w:rtl w:val="0"/>
        </w:rPr>
        <w:t xml:space="preserve"> December</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Known Limitations / Technical Debt Addressed:</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Internal caching layers refactored to prevent stale permission reads.</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CSV export size limits increased from 10K to 100K rows.</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Background jobs (data syncs, report generation) will now surface progress in UI with estimated completion times.</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Customer Feedback Integration:</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Feedback from beta customers of Role Management was incorporated to support nested roles.</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Requests from LATAM customers around timezone-aware reports informed v2 API timelines.</w:t>
        <w:br w:type="textWrapping"/>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Enterprise onboarding feedback helped shape the Feature Flag Console MVP.</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