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Title:</w:t>
      </w:r>
      <w:r w:rsidDel="00000000" w:rsidR="00000000" w:rsidRPr="00000000">
        <w:rPr>
          <w:rtl w:val="0"/>
        </w:rPr>
        <w:t xml:space="preserve"> Why Customers Choose Us: Value-Driven Justifications Backed by Outcomes</w:t>
      </w:r>
    </w:p>
    <w:p w:rsidR="00000000" w:rsidDel="00000000" w:rsidP="00000000" w:rsidRDefault="00000000" w:rsidRPr="00000000" w14:paraId="00000002">
      <w:pPr>
        <w:spacing w:after="240" w:before="240" w:lineRule="auto"/>
        <w:rPr/>
      </w:pPr>
      <w:r w:rsidDel="00000000" w:rsidR="00000000" w:rsidRPr="00000000">
        <w:rPr>
          <w:b w:val="1"/>
          <w:rtl w:val="0"/>
        </w:rPr>
        <w:t xml:space="preserve">Overview:</w:t>
        <w:br w:type="textWrapping"/>
      </w:r>
      <w:r w:rsidDel="00000000" w:rsidR="00000000" w:rsidRPr="00000000">
        <w:rPr>
          <w:rtl w:val="0"/>
        </w:rPr>
        <w:t xml:space="preserve"> This document captures the most compelling value arguments used in presales, adoption sessions, and renewals. It is crafted to arm customer success and sales teams with quantified benefits, differentiated capabilities, and customer voice narratives that show how our product delivers measurable ROI across industries.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 Measurable ROI From Workflow Automation</w:t>
      </w:r>
    </w:p>
    <w:p w:rsidR="00000000" w:rsidDel="00000000" w:rsidP="00000000" w:rsidRDefault="00000000" w:rsidRPr="00000000" w14:paraId="00000005">
      <w:pPr>
        <w:spacing w:after="240" w:before="240" w:lineRule="auto"/>
        <w:rPr/>
      </w:pPr>
      <w:r w:rsidDel="00000000" w:rsidR="00000000" w:rsidRPr="00000000">
        <w:rPr>
          <w:b w:val="1"/>
          <w:rtl w:val="0"/>
        </w:rPr>
        <w:t xml:space="preserve">Context:</w:t>
      </w:r>
      <w:r w:rsidDel="00000000" w:rsidR="00000000" w:rsidRPr="00000000">
        <w:rPr>
          <w:rtl w:val="0"/>
        </w:rPr>
        <w:t xml:space="preserve"> Most enterprise customers reduce 25%–40% of their manual task load by integrating our automation engine.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Highlights: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Retail client automated product catalog updates, reducing data entry hours by 78%.</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A telecom firm integrated the webhook system with Salesforce—reducing lead routing delay from 90 minutes to under 10 seconds.</w:t>
        <w:br w:type="textWrapping"/>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On average, customers report achieving full payback on platform fees within 3.5 months.</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2. Improved Data Governance and Audit Readiness</w:t>
      </w:r>
    </w:p>
    <w:p w:rsidR="00000000" w:rsidDel="00000000" w:rsidP="00000000" w:rsidRDefault="00000000" w:rsidRPr="00000000" w14:paraId="0000000C">
      <w:pPr>
        <w:spacing w:after="240" w:before="240" w:lineRule="auto"/>
        <w:rPr/>
      </w:pPr>
      <w:r w:rsidDel="00000000" w:rsidR="00000000" w:rsidRPr="00000000">
        <w:rPr>
          <w:b w:val="1"/>
          <w:rtl w:val="0"/>
        </w:rPr>
        <w:t xml:space="preserve">Narrative:</w:t>
      </w:r>
      <w:r w:rsidDel="00000000" w:rsidR="00000000" w:rsidRPr="00000000">
        <w:rPr>
          <w:rtl w:val="0"/>
        </w:rPr>
        <w:t xml:space="preserve"> Financial services firms require rigorous controls. Our permission model and activity logs are used as part of SOC 2 audits.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Value Proof:</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“Our compliance officer could export audit logs for the last 18 months without any engineering support”—VP of IT Security, Global Bank</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Built-in policies ensured that teams had read-only access to sensitive PII without leaking records externally.</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3. Localization and Global Scale</w:t>
      </w:r>
    </w:p>
    <w:p w:rsidR="00000000" w:rsidDel="00000000" w:rsidP="00000000" w:rsidRDefault="00000000" w:rsidRPr="00000000" w14:paraId="00000012">
      <w:pPr>
        <w:spacing w:after="240" w:before="240" w:lineRule="auto"/>
        <w:rPr/>
      </w:pPr>
      <w:r w:rsidDel="00000000" w:rsidR="00000000" w:rsidRPr="00000000">
        <w:rPr>
          <w:b w:val="1"/>
          <w:rtl w:val="0"/>
        </w:rPr>
        <w:t xml:space="preserve">Narrative:</w:t>
      </w:r>
      <w:r w:rsidDel="00000000" w:rsidR="00000000" w:rsidRPr="00000000">
        <w:rPr>
          <w:rtl w:val="0"/>
        </w:rPr>
        <w:t xml:space="preserve"> Companies expanding into new regions leverage our platform’s native support for localization.</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Language flexibility enabled a Japanese logistics company to onboard over 200 users in 2 weeks, with 97% daily active engagement.</w:t>
        <w:br w:type="textWrapping"/>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Tiered pricing by region ensured margins held across varying purchasing power indexes.</w:t>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4. Extensibility and Interoperability</w:t>
      </w:r>
    </w:p>
    <w:p w:rsidR="00000000" w:rsidDel="00000000" w:rsidP="00000000" w:rsidRDefault="00000000" w:rsidRPr="00000000" w14:paraId="00000018">
      <w:pPr>
        <w:spacing w:after="240" w:before="240" w:lineRule="auto"/>
        <w:rPr/>
      </w:pPr>
      <w:r w:rsidDel="00000000" w:rsidR="00000000" w:rsidRPr="00000000">
        <w:rPr>
          <w:b w:val="1"/>
          <w:rtl w:val="0"/>
        </w:rPr>
        <w:t xml:space="preserve">Narrative:</w:t>
      </w:r>
      <w:r w:rsidDel="00000000" w:rsidR="00000000" w:rsidRPr="00000000">
        <w:rPr>
          <w:rtl w:val="0"/>
        </w:rPr>
        <w:t xml:space="preserve"> Our public APIs, webhook system, and low-code tools make us “integration-native.”</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Proof:</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89% of customers integrate us with at least one external tool within the first 30 days.</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Common integrations include:</w:t>
        <w:br w:type="textWrapping"/>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ERP (SAP, Netsuite)</w:t>
        <w:br w:type="textWrapping"/>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CRM (Salesforce, HubSpot)</w:t>
        <w:br w:type="textWrapping"/>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BI (Looker, Tableau)</w:t>
        <w:br w:type="textWrapping"/>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rtl w:val="0"/>
        </w:rPr>
        <w:t xml:space="preserve">Customers cite “ease of integration” as one of the top 3 reasons for renewing.</w:t>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5. Reduction in Support Tickets and Internal Training Time</w:t>
      </w:r>
    </w:p>
    <w:p w:rsidR="00000000" w:rsidDel="00000000" w:rsidP="00000000" w:rsidRDefault="00000000" w:rsidRPr="00000000" w14:paraId="00000022">
      <w:pPr>
        <w:spacing w:after="240" w:before="240" w:lineRule="auto"/>
        <w:rPr/>
      </w:pPr>
      <w:r w:rsidDel="00000000" w:rsidR="00000000" w:rsidRPr="00000000">
        <w:rPr>
          <w:b w:val="1"/>
          <w:rtl w:val="0"/>
        </w:rPr>
        <w:t xml:space="preserve">Narrative:</w:t>
      </w:r>
      <w:r w:rsidDel="00000000" w:rsidR="00000000" w:rsidRPr="00000000">
        <w:rPr>
          <w:rtl w:val="0"/>
        </w:rPr>
        <w:t xml:space="preserve"> Intuitive UI + inline documentation = fewer headaches.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Impact Metrics:</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rtl w:val="0"/>
        </w:rPr>
        <w:t xml:space="preserve">Helpdesk ticket volume for new feature rollouts dropped by 60% after introducing onboarding tours.</w:t>
        <w:br w:type="textWrapping"/>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rtl w:val="0"/>
        </w:rPr>
        <w:t xml:space="preserve">Mid-sized law firm trained 120 users in a single day using interactive demos and role-based walkthroughs.</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Voice of the Customer Quotes: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“Your platform replaced four internal tools and gave us better insight in half the time.” – Director of Ops, B2B Marketplace</w:t>
        <w:br w:type="textWrapping"/>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tl w:val="0"/>
        </w:rPr>
        <w:t xml:space="preserve">“The embedded analytics turned out to be a lifesaver for quarterly reviews.” – Finance Lead, Mid-market SaaS</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