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sdaedwuj654k" w:id="0"/>
      <w:bookmarkEnd w:id="0"/>
      <w:r w:rsidDel="00000000" w:rsidR="00000000" w:rsidRPr="00000000">
        <w:rPr>
          <w:b w:val="1"/>
          <w:color w:val="000000"/>
          <w:sz w:val="26"/>
          <w:szCs w:val="26"/>
          <w:rtl w:val="0"/>
        </w:rPr>
        <w:t xml:space="preserve">Introduction to Mortgage Loans</w:t>
      </w:r>
    </w:p>
    <w:p w:rsidR="00000000" w:rsidDel="00000000" w:rsidP="00000000" w:rsidRDefault="00000000" w:rsidRPr="00000000" w14:paraId="00000002">
      <w:pPr>
        <w:spacing w:after="240" w:before="240" w:lineRule="auto"/>
        <w:rPr/>
      </w:pPr>
      <w:r w:rsidDel="00000000" w:rsidR="00000000" w:rsidRPr="00000000">
        <w:rPr>
          <w:rtl w:val="0"/>
        </w:rPr>
        <w:t xml:space="preserve">Mortgage loans are long-term financial agreements that individuals use to finance the purchase of real estate. The borrower commits to repaying the loan over time, typically spanning 10 to 30 years, through fixed monthly installments. These installments include both the repayment of the principal loan amount and the interest accrued over time. The structure and terms of a mortgage are heavily influenced by the borrower’s income, credit history, down payment, and the lending institution’s risk assessment.</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60rp025n5b6g" w:id="1"/>
      <w:bookmarkEnd w:id="1"/>
      <w:r w:rsidDel="00000000" w:rsidR="00000000" w:rsidRPr="00000000">
        <w:rPr>
          <w:b w:val="1"/>
          <w:color w:val="000000"/>
          <w:sz w:val="26"/>
          <w:szCs w:val="26"/>
          <w:rtl w:val="0"/>
        </w:rPr>
        <w:t xml:space="preserve">Global Lenders and Mortgage Types</w:t>
      </w:r>
    </w:p>
    <w:p w:rsidR="00000000" w:rsidDel="00000000" w:rsidP="00000000" w:rsidRDefault="00000000" w:rsidRPr="00000000" w14:paraId="00000004">
      <w:pPr>
        <w:spacing w:after="240" w:before="240" w:lineRule="auto"/>
        <w:rPr/>
      </w:pPr>
      <w:r w:rsidDel="00000000" w:rsidR="00000000" w:rsidRPr="00000000">
        <w:rPr>
          <w:rtl w:val="0"/>
        </w:rPr>
        <w:t xml:space="preserve">Global financial institutions such as JPMorgan Chase, Wells Fargo, HSBC, Citibank, and Barclays provide a variety of mortgage products, including fixed-rate, adjustable-rate, and interest-only options. Each type carries unique terms and financial implications. Fixed-rate mortgages offer stable monthly payments, while adjustable-rate loans adjust periodically based on market indices, introducing variability into repayment schedules. Interest-only loans, though less common, allow borrowers to pay only interest for an initial period before transitioning to full principal plus interest payments.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m63xmdplhczr" w:id="2"/>
      <w:bookmarkEnd w:id="2"/>
      <w:r w:rsidDel="00000000" w:rsidR="00000000" w:rsidRPr="00000000">
        <w:rPr>
          <w:b w:val="1"/>
          <w:color w:val="000000"/>
          <w:sz w:val="26"/>
          <w:szCs w:val="26"/>
          <w:rtl w:val="0"/>
        </w:rPr>
        <w:t xml:space="preserve">Interest Rates and Amortization</w:t>
      </w:r>
    </w:p>
    <w:p w:rsidR="00000000" w:rsidDel="00000000" w:rsidP="00000000" w:rsidRDefault="00000000" w:rsidRPr="00000000" w14:paraId="00000006">
      <w:pPr>
        <w:spacing w:after="240" w:before="240" w:lineRule="auto"/>
        <w:rPr/>
      </w:pPr>
      <w:r w:rsidDel="00000000" w:rsidR="00000000" w:rsidRPr="00000000">
        <w:rPr>
          <w:rtl w:val="0"/>
        </w:rPr>
        <w:t xml:space="preserve">Interest rates typically range from 3% to 7% annually, and are a function of central bank rates, borrower profiles, and macroeconomic factors. The interest portion is significantly higher during the early years of repayment, gradually decreasing as more of each installment is applied toward the principal balance. This amortization profile means that in the first 5–10 years, the borrower’s equity in the property increases slowly.</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el3rgb6pa76" w:id="3"/>
      <w:bookmarkEnd w:id="3"/>
      <w:r w:rsidDel="00000000" w:rsidR="00000000" w:rsidRPr="00000000">
        <w:rPr>
          <w:b w:val="1"/>
          <w:color w:val="000000"/>
          <w:sz w:val="26"/>
          <w:szCs w:val="26"/>
          <w:rtl w:val="0"/>
        </w:rPr>
        <w:t xml:space="preserve">Monthly Payment Breakdown</w:t>
      </w:r>
    </w:p>
    <w:p w:rsidR="00000000" w:rsidDel="00000000" w:rsidP="00000000" w:rsidRDefault="00000000" w:rsidRPr="00000000" w14:paraId="00000008">
      <w:pPr>
        <w:spacing w:after="240" w:before="240" w:lineRule="auto"/>
        <w:rPr/>
      </w:pPr>
      <w:r w:rsidDel="00000000" w:rsidR="00000000" w:rsidRPr="00000000">
        <w:rPr>
          <w:rtl w:val="0"/>
        </w:rPr>
        <w:t xml:space="preserve">Many mortgage agreements include additional features like escrow accounts for property taxes and homeowner’s insurance. The monthly installment, therefore, may include the loan repayment, interest, taxes, and insurance (commonly referred to as PITI). Some banks also offer bi-weekly payment options to reduce overall interest paid and accelerate loan maturity.</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sea41jz2lgtk" w:id="4"/>
      <w:bookmarkEnd w:id="4"/>
      <w:r w:rsidDel="00000000" w:rsidR="00000000" w:rsidRPr="00000000">
        <w:rPr>
          <w:b w:val="1"/>
          <w:color w:val="000000"/>
          <w:sz w:val="26"/>
          <w:szCs w:val="26"/>
          <w:rtl w:val="0"/>
        </w:rPr>
        <w:t xml:space="preserve">Loan Restructuring and Hardship Relief</w:t>
      </w:r>
    </w:p>
    <w:p w:rsidR="00000000" w:rsidDel="00000000" w:rsidP="00000000" w:rsidRDefault="00000000" w:rsidRPr="00000000" w14:paraId="0000000A">
      <w:pPr>
        <w:spacing w:after="240" w:before="240" w:lineRule="auto"/>
        <w:rPr/>
      </w:pPr>
      <w:r w:rsidDel="00000000" w:rsidR="00000000" w:rsidRPr="00000000">
        <w:rPr>
          <w:rtl w:val="0"/>
        </w:rPr>
        <w:t xml:space="preserve">Borrowers can request loan restructuring in response to financial hardship—this might involve term extensions, reduced interest rates, or a temporary shift to interest-only payments. Approval for such modifications depends on timely submission of documents, proof of income change, and an acceptable debt-to-income ratio. If approved, restructuring can lower the monthly burden and prevent defaults or foreclosures.</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nxii9hohes4o" w:id="5"/>
      <w:bookmarkEnd w:id="5"/>
      <w:r w:rsidDel="00000000" w:rsidR="00000000" w:rsidRPr="00000000">
        <w:rPr>
          <w:b w:val="1"/>
          <w:color w:val="000000"/>
          <w:sz w:val="26"/>
          <w:szCs w:val="26"/>
          <w:rtl w:val="0"/>
        </w:rPr>
        <w:t xml:space="preserve">Mortgage Performance Tracking</w:t>
      </w:r>
    </w:p>
    <w:p w:rsidR="00000000" w:rsidDel="00000000" w:rsidP="00000000" w:rsidRDefault="00000000" w:rsidRPr="00000000" w14:paraId="0000000C">
      <w:pPr>
        <w:spacing w:after="240" w:before="240" w:lineRule="auto"/>
        <w:rPr/>
      </w:pPr>
      <w:r w:rsidDel="00000000" w:rsidR="00000000" w:rsidRPr="00000000">
        <w:rPr>
          <w:rtl w:val="0"/>
        </w:rPr>
        <w:t xml:space="preserve">When borrowers inquire about their mortgage status, key metrics of interest include the outstanding loan balance, the number of months remaining in the repayment schedule, and the total principal already repaid. Banks often expose this information through online dashboards, but not all platforms offer a breakdown of amortization or an easy way to compute early payoff scenarios.</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f8qa935qtyj0" w:id="6"/>
      <w:bookmarkEnd w:id="6"/>
      <w:r w:rsidDel="00000000" w:rsidR="00000000" w:rsidRPr="00000000">
        <w:rPr>
          <w:b w:val="1"/>
          <w:color w:val="000000"/>
          <w:sz w:val="26"/>
          <w:szCs w:val="26"/>
          <w:rtl w:val="0"/>
        </w:rPr>
        <w:t xml:space="preserve">Missed Payments and Risk Flags</w:t>
      </w:r>
    </w:p>
    <w:p w:rsidR="00000000" w:rsidDel="00000000" w:rsidP="00000000" w:rsidRDefault="00000000" w:rsidRPr="00000000" w14:paraId="0000000E">
      <w:pPr>
        <w:spacing w:after="240" w:before="240" w:lineRule="auto"/>
        <w:rPr/>
      </w:pPr>
      <w:r w:rsidDel="00000000" w:rsidR="00000000" w:rsidRPr="00000000">
        <w:rPr>
          <w:rtl w:val="0"/>
        </w:rPr>
        <w:t xml:space="preserve">Missed payments are flagged by banks based on industry-standard thresholds—commonly 30, 60, and 90 days past due. One missed payment might result in a warning or a late fee, but multiple missed payments can trigger a review of the borrower’s creditworthiness or initiate foreclosure proceedings. For example, a 60-day delinquency may place a borrower into a high-risk category, affecting their eligibility for refinancing, additional credit products, or restructuring requests.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a95inbt9up" w:id="7"/>
      <w:bookmarkEnd w:id="7"/>
      <w:r w:rsidDel="00000000" w:rsidR="00000000" w:rsidRPr="00000000">
        <w:rPr>
          <w:b w:val="1"/>
          <w:color w:val="000000"/>
          <w:sz w:val="26"/>
          <w:szCs w:val="26"/>
          <w:rtl w:val="0"/>
        </w:rPr>
        <w:t xml:space="preserve">Refinancing and Its Requirements</w:t>
      </w:r>
    </w:p>
    <w:p w:rsidR="00000000" w:rsidDel="00000000" w:rsidP="00000000" w:rsidRDefault="00000000" w:rsidRPr="00000000" w14:paraId="00000010">
      <w:pPr>
        <w:spacing w:after="240" w:before="240" w:lineRule="auto"/>
        <w:rPr/>
      </w:pPr>
      <w:r w:rsidDel="00000000" w:rsidR="00000000" w:rsidRPr="00000000">
        <w:rPr>
          <w:rtl w:val="0"/>
        </w:rPr>
        <w:t xml:space="preserve">Refinancing is another common strategy pursued by borrowers aiming to capitalize on falling interest rates. This involves paying off the current loan by taking a new one with better terms. During refinancing evaluations, borrowers typically need data such as how much of the principal has already been paid and what their remaining balance is. This helps estimate the cost-benefit of the refinancing decision.</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8an3gyru5fy1" w:id="8"/>
      <w:bookmarkEnd w:id="8"/>
      <w:r w:rsidDel="00000000" w:rsidR="00000000" w:rsidRPr="00000000">
        <w:rPr>
          <w:b w:val="1"/>
          <w:color w:val="000000"/>
          <w:sz w:val="26"/>
          <w:szCs w:val="26"/>
          <w:rtl w:val="0"/>
        </w:rPr>
        <w:t xml:space="preserve">Prepayments and Early Repayment Rules</w:t>
      </w:r>
    </w:p>
    <w:p w:rsidR="00000000" w:rsidDel="00000000" w:rsidP="00000000" w:rsidRDefault="00000000" w:rsidRPr="00000000" w14:paraId="00000012">
      <w:pPr>
        <w:spacing w:after="240" w:before="240" w:lineRule="auto"/>
        <w:rPr/>
      </w:pPr>
      <w:r w:rsidDel="00000000" w:rsidR="00000000" w:rsidRPr="00000000">
        <w:rPr>
          <w:rtl w:val="0"/>
        </w:rPr>
        <w:t xml:space="preserve">Financial institutions like HSBC and Citibank allow borrowers to make partial prepayments toward their mortgage, thereby reducing the total interest payable and shortening the loan term. Some lenders permit up to 20% of the principal to be prepaid annually without penalty, while others may impose fees for early repayment, especially during fixed-rate lock-in periods.</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y84lm4bdezqe" w:id="9"/>
      <w:bookmarkEnd w:id="9"/>
      <w:r w:rsidDel="00000000" w:rsidR="00000000" w:rsidRPr="00000000">
        <w:rPr>
          <w:b w:val="1"/>
          <w:color w:val="000000"/>
          <w:sz w:val="26"/>
          <w:szCs w:val="26"/>
          <w:rtl w:val="0"/>
        </w:rPr>
        <w:t xml:space="preserve">Payment History and Record Accuracy</w:t>
      </w:r>
    </w:p>
    <w:p w:rsidR="00000000" w:rsidDel="00000000" w:rsidP="00000000" w:rsidRDefault="00000000" w:rsidRPr="00000000" w14:paraId="00000014">
      <w:pPr>
        <w:spacing w:after="240" w:before="240" w:lineRule="auto"/>
        <w:rPr/>
      </w:pPr>
      <w:r w:rsidDel="00000000" w:rsidR="00000000" w:rsidRPr="00000000">
        <w:rPr>
          <w:rtl w:val="0"/>
        </w:rPr>
        <w:t xml:space="preserve">Borrowers may also ask for their payment history and whether they’ve triggered any missed payment alerts. This history helps evaluate financial discipline and assess credit risk, especially during loan restructuring, top-up loan applications, or eligibility checks for new mortgages. In some cases, borrowers want to verify the accuracy of recorded payment dates or seek clarification regarding discrepancies in interest calculations.</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at0m83kfz5vq" w:id="10"/>
      <w:bookmarkEnd w:id="10"/>
      <w:r w:rsidDel="00000000" w:rsidR="00000000" w:rsidRPr="00000000">
        <w:rPr>
          <w:b w:val="1"/>
          <w:color w:val="000000"/>
          <w:sz w:val="26"/>
          <w:szCs w:val="26"/>
          <w:rtl w:val="0"/>
        </w:rPr>
        <w:t xml:space="preserve">Internal Fields and Operational Metrics</w:t>
      </w:r>
    </w:p>
    <w:p w:rsidR="00000000" w:rsidDel="00000000" w:rsidP="00000000" w:rsidRDefault="00000000" w:rsidRPr="00000000" w14:paraId="00000016">
      <w:pPr>
        <w:spacing w:after="240" w:before="240" w:lineRule="auto"/>
        <w:rPr/>
      </w:pPr>
      <w:r w:rsidDel="00000000" w:rsidR="00000000" w:rsidRPr="00000000">
        <w:rPr>
          <w:rtl w:val="0"/>
        </w:rPr>
        <w:t xml:space="preserve">Institutions maintain internal data fields such as mortgage ID, term duration, interest rate type, outstanding balance, and flags for delinquency. They also store the date of the last payment, total months elapsed, cumulative principal paid, monthly EMI amount, and remaining tenure. These values provide a full picture of a mortgage’s life cycle and are referenced for customer support, analytics, and regulatory audits.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w6a9u82kyqgf" w:id="11"/>
      <w:bookmarkEnd w:id="11"/>
      <w:r w:rsidDel="00000000" w:rsidR="00000000" w:rsidRPr="00000000">
        <w:rPr>
          <w:b w:val="1"/>
          <w:color w:val="000000"/>
          <w:sz w:val="26"/>
          <w:szCs w:val="26"/>
          <w:rtl w:val="0"/>
        </w:rPr>
        <w:t xml:space="preserve">Decision Making and Use of Mortgage Data</w:t>
      </w:r>
    </w:p>
    <w:p w:rsidR="00000000" w:rsidDel="00000000" w:rsidP="00000000" w:rsidRDefault="00000000" w:rsidRPr="00000000" w14:paraId="00000018">
      <w:pPr>
        <w:spacing w:after="240" w:before="240" w:lineRule="auto"/>
        <w:rPr/>
      </w:pPr>
      <w:r w:rsidDel="00000000" w:rsidR="00000000" w:rsidRPr="00000000">
        <w:rPr>
          <w:rtl w:val="0"/>
        </w:rPr>
        <w:t xml:space="preserve">Whether through refinancing, early repayment, or hardship relief, understanding these mortgage attributes helps borrowers make informed decisions. It also enables financial institutions to tailor offerings, assess risk more precisely, and meet compliance requirements under global lending frameworks.</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