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outhBuild Invest — Full Company Profile" w:id="1"/>
      <w:bookmarkEnd w:id="1"/>
      <w:r>
        <w:rPr>
          <w:b w:val="0"/>
        </w:rPr>
      </w:r>
      <w:r>
        <w:rPr>
          <w:color w:val="365F91"/>
        </w:rPr>
        <w:t>SouthBuild</w:t>
      </w:r>
      <w:r>
        <w:rPr>
          <w:color w:val="365F91"/>
          <w:spacing w:val="-4"/>
        </w:rPr>
        <w:t> </w:t>
      </w:r>
      <w:r>
        <w:rPr>
          <w:color w:val="365F91"/>
        </w:rPr>
        <w:t>Invest</w:t>
      </w:r>
      <w:r>
        <w:rPr>
          <w:color w:val="365F91"/>
          <w:spacing w:val="-4"/>
        </w:rPr>
        <w:t> </w:t>
      </w:r>
      <w:r>
        <w:rPr>
          <w:color w:val="365F91"/>
        </w:rPr>
        <w:t>—</w:t>
      </w:r>
      <w:r>
        <w:rPr>
          <w:color w:val="365F91"/>
          <w:spacing w:val="-3"/>
        </w:rPr>
        <w:t> </w:t>
      </w:r>
      <w:r>
        <w:rPr>
          <w:color w:val="365F91"/>
        </w:rPr>
        <w:t>Full</w:t>
      </w:r>
      <w:r>
        <w:rPr>
          <w:color w:val="365F91"/>
          <w:spacing w:val="-4"/>
        </w:rPr>
        <w:t> </w:t>
      </w:r>
      <w:r>
        <w:rPr>
          <w:color w:val="365F91"/>
        </w:rPr>
        <w:t>Company</w:t>
      </w:r>
      <w:r>
        <w:rPr>
          <w:color w:val="365F91"/>
          <w:spacing w:val="-3"/>
        </w:rPr>
        <w:t> </w:t>
      </w:r>
      <w:r>
        <w:rPr>
          <w:color w:val="365F91"/>
          <w:spacing w:val="-2"/>
        </w:rPr>
        <w:t>Profile</w:t>
      </w:r>
    </w:p>
    <w:p>
      <w:pPr>
        <w:pStyle w:val="BodyText"/>
        <w:ind w:left="0"/>
        <w:rPr>
          <w:b/>
          <w:sz w:val="20"/>
        </w:rPr>
      </w:pPr>
    </w:p>
    <w:p>
      <w:pPr>
        <w:pStyle w:val="BodyText"/>
        <w:ind w:left="0"/>
        <w:rPr>
          <w:b/>
          <w:sz w:val="20"/>
        </w:rPr>
      </w:pPr>
    </w:p>
    <w:p>
      <w:pPr>
        <w:pStyle w:val="BodyText"/>
        <w:spacing w:before="144"/>
        <w:ind w:left="0"/>
        <w:rPr>
          <w:b/>
          <w:sz w:val="20"/>
        </w:rPr>
      </w:pPr>
      <w:r>
        <w:rPr>
          <w:b/>
          <w:sz w:val="20"/>
        </w:rPr>
        <w:drawing>
          <wp:anchor distT="0" distB="0" distL="0" distR="0" allowOverlap="1" layoutInCell="1" locked="0" behindDoc="1" simplePos="0" relativeHeight="487587840">
            <wp:simplePos x="0" y="0"/>
            <wp:positionH relativeFrom="page">
              <wp:posOffset>720000</wp:posOffset>
            </wp:positionH>
            <wp:positionV relativeFrom="paragraph">
              <wp:posOffset>262081</wp:posOffset>
            </wp:positionV>
            <wp:extent cx="2804556" cy="82638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04556" cy="826389"/>
                    </a:xfrm>
                    <a:prstGeom prst="rect">
                      <a:avLst/>
                    </a:prstGeom>
                  </pic:spPr>
                </pic:pic>
              </a:graphicData>
            </a:graphic>
          </wp:anchor>
        </w:drawing>
      </w:r>
    </w:p>
    <w:p>
      <w:pPr>
        <w:pStyle w:val="BodyText"/>
        <w:ind w:left="0"/>
        <w:rPr>
          <w:b/>
          <w:sz w:val="28"/>
        </w:rPr>
      </w:pPr>
    </w:p>
    <w:p>
      <w:pPr>
        <w:pStyle w:val="BodyText"/>
        <w:spacing w:before="188"/>
        <w:ind w:left="0"/>
        <w:rPr>
          <w:b/>
          <w:sz w:val="28"/>
        </w:rPr>
      </w:pPr>
    </w:p>
    <w:p>
      <w:pPr>
        <w:pStyle w:val="Heading1"/>
        <w:numPr>
          <w:ilvl w:val="0"/>
          <w:numId w:val="1"/>
        </w:numPr>
        <w:tabs>
          <w:tab w:pos="399" w:val="left" w:leader="none"/>
        </w:tabs>
        <w:spacing w:line="240" w:lineRule="auto" w:before="1" w:after="0"/>
        <w:ind w:left="399" w:right="0" w:hanging="258"/>
        <w:jc w:val="left"/>
      </w:pPr>
      <w:r>
        <w:rPr>
          <w:color w:val="4F81BD"/>
        </w:rPr>
        <w:t>Company</w:t>
      </w:r>
      <w:r>
        <w:rPr>
          <w:color w:val="4F81BD"/>
          <w:spacing w:val="-5"/>
        </w:rPr>
        <w:t> </w:t>
      </w:r>
      <w:r>
        <w:rPr>
          <w:color w:val="4F81BD"/>
        </w:rPr>
        <w:t>Overview</w:t>
      </w:r>
      <w:r>
        <w:rPr>
          <w:color w:val="4F81BD"/>
          <w:spacing w:val="-5"/>
        </w:rPr>
        <w:t> </w:t>
      </w:r>
      <w:r>
        <w:rPr>
          <w:color w:val="4F81BD"/>
        </w:rPr>
        <w:t>/</w:t>
      </w:r>
      <w:r>
        <w:rPr>
          <w:color w:val="4F81BD"/>
          <w:spacing w:val="-4"/>
        </w:rPr>
        <w:t> </w:t>
      </w:r>
      <w:r>
        <w:rPr>
          <w:color w:val="4F81BD"/>
          <w:spacing w:val="-2"/>
        </w:rPr>
        <w:t>Description</w:t>
      </w:r>
    </w:p>
    <w:p>
      <w:pPr>
        <w:pStyle w:val="BodyText"/>
        <w:spacing w:line="256" w:lineRule="auto" w:before="74"/>
        <w:ind w:right="139"/>
        <w:jc w:val="both"/>
        <w:rPr>
          <w:rFonts w:ascii="Cambria"/>
        </w:rPr>
      </w:pPr>
      <w:r>
        <w:rPr>
          <w:rFonts w:ascii="Cambria"/>
        </w:rPr>
        <w:t>SouthBuild Invest is an Albanian investment and development company focused on creating high- value, sustainable projects across Albania. Starting with strong opportunities in the south and expanding nationwide, the company operates in real estate development, construction, strategic investments, and project management.</w:t>
      </w:r>
    </w:p>
    <w:p>
      <w:pPr>
        <w:pStyle w:val="Heading1"/>
        <w:numPr>
          <w:ilvl w:val="0"/>
          <w:numId w:val="1"/>
        </w:numPr>
        <w:tabs>
          <w:tab w:pos="401" w:val="left" w:leader="none"/>
        </w:tabs>
        <w:spacing w:line="240" w:lineRule="auto" w:before="168" w:after="0"/>
        <w:ind w:left="401" w:right="0" w:hanging="260"/>
        <w:jc w:val="left"/>
      </w:pPr>
      <w:r>
        <w:rPr>
          <w:color w:val="4F81BD"/>
        </w:rPr>
        <w:t>Mission </w:t>
      </w:r>
      <w:r>
        <w:rPr>
          <w:color w:val="4F81BD"/>
          <w:spacing w:val="-2"/>
        </w:rPr>
        <w:t>Statement</w:t>
      </w:r>
    </w:p>
    <w:p>
      <w:pPr>
        <w:pStyle w:val="BodyText"/>
        <w:spacing w:line="256" w:lineRule="auto" w:before="74"/>
        <w:ind w:right="141"/>
        <w:jc w:val="both"/>
        <w:rPr>
          <w:rFonts w:ascii="Cambria" w:hAnsi="Cambria"/>
        </w:rPr>
      </w:pPr>
      <w:r>
        <w:rPr>
          <w:rFonts w:ascii="Cambria" w:hAnsi="Cambria"/>
        </w:rPr>
        <w:t>To</w:t>
      </w:r>
      <w:r>
        <w:rPr>
          <w:rFonts w:ascii="Cambria" w:hAnsi="Cambria"/>
          <w:spacing w:val="-5"/>
        </w:rPr>
        <w:t> </w:t>
      </w:r>
      <w:r>
        <w:rPr>
          <w:rFonts w:ascii="Cambria" w:hAnsi="Cambria"/>
        </w:rPr>
        <w:t>invest,</w:t>
      </w:r>
      <w:r>
        <w:rPr>
          <w:rFonts w:ascii="Cambria" w:hAnsi="Cambria"/>
          <w:spacing w:val="-5"/>
        </w:rPr>
        <w:t> </w:t>
      </w:r>
      <w:r>
        <w:rPr>
          <w:rFonts w:ascii="Cambria" w:hAnsi="Cambria"/>
        </w:rPr>
        <w:t>develop,</w:t>
      </w:r>
      <w:r>
        <w:rPr>
          <w:rFonts w:ascii="Cambria" w:hAnsi="Cambria"/>
          <w:spacing w:val="-5"/>
        </w:rPr>
        <w:t> </w:t>
      </w:r>
      <w:r>
        <w:rPr>
          <w:rFonts w:ascii="Cambria" w:hAnsi="Cambria"/>
        </w:rPr>
        <w:t>and</w:t>
      </w:r>
      <w:r>
        <w:rPr>
          <w:rFonts w:ascii="Cambria" w:hAnsi="Cambria"/>
          <w:spacing w:val="-6"/>
        </w:rPr>
        <w:t> </w:t>
      </w:r>
      <w:r>
        <w:rPr>
          <w:rFonts w:ascii="Cambria" w:hAnsi="Cambria"/>
        </w:rPr>
        <w:t>deliver</w:t>
      </w:r>
      <w:r>
        <w:rPr>
          <w:rFonts w:ascii="Cambria" w:hAnsi="Cambria"/>
          <w:spacing w:val="-5"/>
        </w:rPr>
        <w:t> </w:t>
      </w:r>
      <w:r>
        <w:rPr>
          <w:rFonts w:ascii="Cambria" w:hAnsi="Cambria"/>
        </w:rPr>
        <w:t>high-quality</w:t>
      </w:r>
      <w:r>
        <w:rPr>
          <w:rFonts w:ascii="Cambria" w:hAnsi="Cambria"/>
          <w:spacing w:val="-5"/>
        </w:rPr>
        <w:t> </w:t>
      </w:r>
      <w:r>
        <w:rPr>
          <w:rFonts w:ascii="Cambria" w:hAnsi="Cambria"/>
        </w:rPr>
        <w:t>projects</w:t>
      </w:r>
      <w:r>
        <w:rPr>
          <w:rFonts w:ascii="Cambria" w:hAnsi="Cambria"/>
          <w:spacing w:val="-6"/>
        </w:rPr>
        <w:t> </w:t>
      </w:r>
      <w:r>
        <w:rPr>
          <w:rFonts w:ascii="Cambria" w:hAnsi="Cambria"/>
        </w:rPr>
        <w:t>that</w:t>
      </w:r>
      <w:r>
        <w:rPr>
          <w:rFonts w:ascii="Cambria" w:hAnsi="Cambria"/>
          <w:spacing w:val="-5"/>
        </w:rPr>
        <w:t> </w:t>
      </w:r>
      <w:r>
        <w:rPr>
          <w:rFonts w:ascii="Cambria" w:hAnsi="Cambria"/>
        </w:rPr>
        <w:t>enhance</w:t>
      </w:r>
      <w:r>
        <w:rPr>
          <w:rFonts w:ascii="Cambria" w:hAnsi="Cambria"/>
          <w:spacing w:val="-5"/>
        </w:rPr>
        <w:t> </w:t>
      </w:r>
      <w:r>
        <w:rPr>
          <w:rFonts w:ascii="Cambria" w:hAnsi="Cambria"/>
        </w:rPr>
        <w:t>communities,</w:t>
      </w:r>
      <w:r>
        <w:rPr>
          <w:rFonts w:ascii="Cambria" w:hAnsi="Cambria"/>
          <w:spacing w:val="-5"/>
        </w:rPr>
        <w:t> </w:t>
      </w:r>
      <w:r>
        <w:rPr>
          <w:rFonts w:ascii="Cambria" w:hAnsi="Cambria"/>
        </w:rPr>
        <w:t>create</w:t>
      </w:r>
      <w:r>
        <w:rPr>
          <w:rFonts w:ascii="Cambria" w:hAnsi="Cambria"/>
          <w:spacing w:val="-5"/>
        </w:rPr>
        <w:t> </w:t>
      </w:r>
      <w:r>
        <w:rPr>
          <w:rFonts w:ascii="Cambria" w:hAnsi="Cambria"/>
        </w:rPr>
        <w:t>long-term</w:t>
      </w:r>
      <w:r>
        <w:rPr>
          <w:rFonts w:ascii="Cambria" w:hAnsi="Cambria"/>
          <w:spacing w:val="-5"/>
        </w:rPr>
        <w:t> </w:t>
      </w:r>
      <w:r>
        <w:rPr>
          <w:rFonts w:ascii="Cambria" w:hAnsi="Cambria"/>
        </w:rPr>
        <w:t>value, and set new standards in Albania’s real estate and investment landscape.</w:t>
      </w:r>
    </w:p>
    <w:p>
      <w:pPr>
        <w:pStyle w:val="Heading1"/>
        <w:numPr>
          <w:ilvl w:val="0"/>
          <w:numId w:val="1"/>
        </w:numPr>
        <w:tabs>
          <w:tab w:pos="399" w:val="left" w:leader="none"/>
        </w:tabs>
        <w:spacing w:line="240" w:lineRule="auto" w:before="168" w:after="0"/>
        <w:ind w:left="399" w:right="0" w:hanging="258"/>
        <w:jc w:val="left"/>
      </w:pPr>
      <w:r>
        <w:rPr>
          <w:color w:val="4F81BD"/>
        </w:rPr>
        <w:t>Vision</w:t>
      </w:r>
      <w:r>
        <w:rPr>
          <w:color w:val="4F81BD"/>
          <w:spacing w:val="-1"/>
        </w:rPr>
        <w:t> </w:t>
      </w:r>
      <w:r>
        <w:rPr>
          <w:color w:val="4F81BD"/>
          <w:spacing w:val="-2"/>
        </w:rPr>
        <w:t>Statement</w:t>
      </w:r>
    </w:p>
    <w:p>
      <w:pPr>
        <w:pStyle w:val="BodyText"/>
        <w:spacing w:line="256" w:lineRule="auto" w:before="74"/>
        <w:ind w:right="140"/>
        <w:jc w:val="both"/>
        <w:rPr>
          <w:rFonts w:ascii="Cambria" w:hAnsi="Cambria"/>
        </w:rPr>
      </w:pPr>
      <w:r>
        <w:rPr>
          <w:rFonts w:ascii="Cambria" w:hAnsi="Cambria"/>
        </w:rPr>
        <w:t>To</w:t>
      </w:r>
      <w:r>
        <w:rPr>
          <w:rFonts w:ascii="Cambria" w:hAnsi="Cambria"/>
          <w:spacing w:val="-5"/>
        </w:rPr>
        <w:t> </w:t>
      </w:r>
      <w:r>
        <w:rPr>
          <w:rFonts w:ascii="Cambria" w:hAnsi="Cambria"/>
        </w:rPr>
        <w:t>become</w:t>
      </w:r>
      <w:r>
        <w:rPr>
          <w:rFonts w:ascii="Cambria" w:hAnsi="Cambria"/>
          <w:spacing w:val="-5"/>
        </w:rPr>
        <w:t> </w:t>
      </w:r>
      <w:r>
        <w:rPr>
          <w:rFonts w:ascii="Cambria" w:hAnsi="Cambria"/>
        </w:rPr>
        <w:t>one</w:t>
      </w:r>
      <w:r>
        <w:rPr>
          <w:rFonts w:ascii="Cambria" w:hAnsi="Cambria"/>
          <w:spacing w:val="-5"/>
        </w:rPr>
        <w:t> </w:t>
      </w:r>
      <w:r>
        <w:rPr>
          <w:rFonts w:ascii="Cambria" w:hAnsi="Cambria"/>
        </w:rPr>
        <w:t>of</w:t>
      </w:r>
      <w:r>
        <w:rPr>
          <w:rFonts w:ascii="Cambria" w:hAnsi="Cambria"/>
          <w:spacing w:val="-5"/>
        </w:rPr>
        <w:t> </w:t>
      </w:r>
      <w:r>
        <w:rPr>
          <w:rFonts w:ascii="Cambria" w:hAnsi="Cambria"/>
        </w:rPr>
        <w:t>Albania’s</w:t>
      </w:r>
      <w:r>
        <w:rPr>
          <w:rFonts w:ascii="Cambria" w:hAnsi="Cambria"/>
          <w:spacing w:val="-5"/>
        </w:rPr>
        <w:t> </w:t>
      </w:r>
      <w:r>
        <w:rPr>
          <w:rFonts w:ascii="Cambria" w:hAnsi="Cambria"/>
        </w:rPr>
        <w:t>leading</w:t>
      </w:r>
      <w:r>
        <w:rPr>
          <w:rFonts w:ascii="Cambria" w:hAnsi="Cambria"/>
          <w:spacing w:val="-5"/>
        </w:rPr>
        <w:t> </w:t>
      </w:r>
      <w:r>
        <w:rPr>
          <w:rFonts w:ascii="Cambria" w:hAnsi="Cambria"/>
        </w:rPr>
        <w:t>investment</w:t>
      </w:r>
      <w:r>
        <w:rPr>
          <w:rFonts w:ascii="Cambria" w:hAnsi="Cambria"/>
          <w:spacing w:val="-5"/>
        </w:rPr>
        <w:t> </w:t>
      </w:r>
      <w:r>
        <w:rPr>
          <w:rFonts w:ascii="Cambria" w:hAnsi="Cambria"/>
        </w:rPr>
        <w:t>and</w:t>
      </w:r>
      <w:r>
        <w:rPr>
          <w:rFonts w:ascii="Cambria" w:hAnsi="Cambria"/>
          <w:spacing w:val="-5"/>
        </w:rPr>
        <w:t> </w:t>
      </w:r>
      <w:r>
        <w:rPr>
          <w:rFonts w:ascii="Cambria" w:hAnsi="Cambria"/>
        </w:rPr>
        <w:t>development</w:t>
      </w:r>
      <w:r>
        <w:rPr>
          <w:rFonts w:ascii="Cambria" w:hAnsi="Cambria"/>
          <w:spacing w:val="-5"/>
        </w:rPr>
        <w:t> </w:t>
      </w:r>
      <w:r>
        <w:rPr>
          <w:rFonts w:ascii="Cambria" w:hAnsi="Cambria"/>
        </w:rPr>
        <w:t>companies</w:t>
      </w:r>
      <w:r>
        <w:rPr>
          <w:rFonts w:ascii="Cambria" w:hAnsi="Cambria"/>
          <w:spacing w:val="-5"/>
        </w:rPr>
        <w:t> </w:t>
      </w:r>
      <w:r>
        <w:rPr>
          <w:rFonts w:ascii="Cambria" w:hAnsi="Cambria"/>
        </w:rPr>
        <w:t>by</w:t>
      </w:r>
      <w:r>
        <w:rPr>
          <w:rFonts w:ascii="Cambria" w:hAnsi="Cambria"/>
          <w:spacing w:val="-5"/>
        </w:rPr>
        <w:t> </w:t>
      </w:r>
      <w:r>
        <w:rPr>
          <w:rFonts w:ascii="Cambria" w:hAnsi="Cambria"/>
        </w:rPr>
        <w:t>expanding</w:t>
      </w:r>
      <w:r>
        <w:rPr>
          <w:rFonts w:ascii="Cambria" w:hAnsi="Cambria"/>
          <w:spacing w:val="-5"/>
        </w:rPr>
        <w:t> </w:t>
      </w:r>
      <w:r>
        <w:rPr>
          <w:rFonts w:ascii="Cambria" w:hAnsi="Cambria"/>
        </w:rPr>
        <w:t>our</w:t>
      </w:r>
      <w:r>
        <w:rPr>
          <w:rFonts w:ascii="Cambria" w:hAnsi="Cambria"/>
          <w:spacing w:val="-5"/>
        </w:rPr>
        <w:t> </w:t>
      </w:r>
      <w:r>
        <w:rPr>
          <w:rFonts w:ascii="Cambria" w:hAnsi="Cambria"/>
        </w:rPr>
        <w:t>national presence, embracing innovation, and building projects that stand the test of time.</w:t>
      </w:r>
    </w:p>
    <w:p>
      <w:pPr>
        <w:pStyle w:val="Heading1"/>
        <w:numPr>
          <w:ilvl w:val="0"/>
          <w:numId w:val="1"/>
        </w:numPr>
        <w:tabs>
          <w:tab w:pos="399" w:val="left" w:leader="none"/>
        </w:tabs>
        <w:spacing w:line="240" w:lineRule="auto" w:before="168" w:after="0"/>
        <w:ind w:left="399" w:right="0" w:hanging="258"/>
        <w:jc w:val="left"/>
      </w:pPr>
      <w:r>
        <w:rPr>
          <w:color w:val="4F81BD"/>
        </w:rPr>
        <w:t>Slogan</w:t>
      </w:r>
      <w:r>
        <w:rPr>
          <w:color w:val="4F81BD"/>
          <w:spacing w:val="-5"/>
        </w:rPr>
        <w:t> </w:t>
      </w:r>
      <w:r>
        <w:rPr>
          <w:color w:val="4F81BD"/>
        </w:rPr>
        <w:t>/</w:t>
      </w:r>
      <w:r>
        <w:rPr>
          <w:color w:val="4F81BD"/>
          <w:spacing w:val="-5"/>
        </w:rPr>
        <w:t> </w:t>
      </w:r>
      <w:r>
        <w:rPr>
          <w:color w:val="4F81BD"/>
          <w:spacing w:val="-2"/>
        </w:rPr>
        <w:t>Tagline</w:t>
      </w:r>
    </w:p>
    <w:p>
      <w:pPr>
        <w:pStyle w:val="BodyText"/>
        <w:spacing w:before="74"/>
        <w:rPr>
          <w:rFonts w:ascii="Cambria" w:hAnsi="Cambria"/>
        </w:rPr>
      </w:pPr>
      <w:r>
        <w:rPr>
          <w:rFonts w:ascii="Cambria" w:hAnsi="Cambria"/>
        </w:rPr>
        <w:t>“Building</w:t>
      </w:r>
      <w:r>
        <w:rPr>
          <w:rFonts w:ascii="Cambria" w:hAnsi="Cambria"/>
          <w:spacing w:val="-4"/>
        </w:rPr>
        <w:t> </w:t>
      </w:r>
      <w:r>
        <w:rPr>
          <w:rFonts w:ascii="Cambria" w:hAnsi="Cambria"/>
        </w:rPr>
        <w:t>the</w:t>
      </w:r>
      <w:r>
        <w:rPr>
          <w:rFonts w:ascii="Cambria" w:hAnsi="Cambria"/>
          <w:spacing w:val="-3"/>
        </w:rPr>
        <w:t> </w:t>
      </w:r>
      <w:r>
        <w:rPr>
          <w:rFonts w:ascii="Cambria" w:hAnsi="Cambria"/>
        </w:rPr>
        <w:t>future</w:t>
      </w:r>
      <w:r>
        <w:rPr>
          <w:rFonts w:ascii="Cambria" w:hAnsi="Cambria"/>
          <w:spacing w:val="-3"/>
        </w:rPr>
        <w:t> </w:t>
      </w:r>
      <w:r>
        <w:rPr>
          <w:rFonts w:ascii="Cambria" w:hAnsi="Cambria"/>
        </w:rPr>
        <w:t>of</w:t>
      </w:r>
      <w:r>
        <w:rPr>
          <w:rFonts w:ascii="Cambria" w:hAnsi="Cambria"/>
          <w:spacing w:val="-3"/>
        </w:rPr>
        <w:t> </w:t>
      </w:r>
      <w:r>
        <w:rPr>
          <w:rFonts w:ascii="Cambria" w:hAnsi="Cambria"/>
          <w:spacing w:val="-2"/>
        </w:rPr>
        <w:t>Albania.”</w:t>
      </w:r>
    </w:p>
    <w:p>
      <w:pPr>
        <w:pStyle w:val="Heading1"/>
        <w:numPr>
          <w:ilvl w:val="0"/>
          <w:numId w:val="1"/>
        </w:numPr>
        <w:tabs>
          <w:tab w:pos="399" w:val="left" w:leader="none"/>
        </w:tabs>
        <w:spacing w:line="240" w:lineRule="auto" w:before="186" w:after="0"/>
        <w:ind w:left="399" w:right="0" w:hanging="258"/>
        <w:jc w:val="left"/>
      </w:pPr>
      <w:r>
        <w:rPr>
          <w:color w:val="4F81BD"/>
        </w:rPr>
        <w:t>Core</w:t>
      </w:r>
      <w:r>
        <w:rPr>
          <w:color w:val="4F81BD"/>
          <w:spacing w:val="-5"/>
        </w:rPr>
        <w:t> </w:t>
      </w:r>
      <w:r>
        <w:rPr>
          <w:color w:val="4F81BD"/>
          <w:spacing w:val="-2"/>
        </w:rPr>
        <w:t>Values</w:t>
      </w:r>
    </w:p>
    <w:p>
      <w:pPr>
        <w:pStyle w:val="ListParagraph"/>
        <w:numPr>
          <w:ilvl w:val="1"/>
          <w:numId w:val="1"/>
        </w:numPr>
        <w:tabs>
          <w:tab w:pos="286" w:val="left" w:leader="none"/>
        </w:tabs>
        <w:spacing w:line="240" w:lineRule="auto" w:before="74" w:after="0"/>
        <w:ind w:left="286" w:right="0" w:hanging="145"/>
        <w:jc w:val="left"/>
        <w:rPr>
          <w:rFonts w:ascii="Cambria" w:hAnsi="Cambria"/>
          <w:sz w:val="22"/>
        </w:rPr>
      </w:pPr>
      <w:r>
        <w:rPr>
          <w:rFonts w:ascii="Cambria" w:hAnsi="Cambria"/>
          <w:sz w:val="22"/>
        </w:rPr>
        <w:t>Integrity</w:t>
      </w:r>
      <w:r>
        <w:rPr>
          <w:rFonts w:ascii="Cambria" w:hAnsi="Cambria"/>
          <w:spacing w:val="-7"/>
          <w:sz w:val="22"/>
        </w:rPr>
        <w:t> </w:t>
      </w:r>
      <w:r>
        <w:rPr>
          <w:rFonts w:ascii="Cambria" w:hAnsi="Cambria"/>
          <w:sz w:val="22"/>
        </w:rPr>
        <w:t>–</w:t>
      </w:r>
      <w:r>
        <w:rPr>
          <w:rFonts w:ascii="Cambria" w:hAnsi="Cambria"/>
          <w:spacing w:val="-5"/>
          <w:sz w:val="22"/>
        </w:rPr>
        <w:t> </w:t>
      </w:r>
      <w:r>
        <w:rPr>
          <w:rFonts w:ascii="Cambria" w:hAnsi="Cambria"/>
          <w:sz w:val="22"/>
        </w:rPr>
        <w:t>Transparent,</w:t>
      </w:r>
      <w:r>
        <w:rPr>
          <w:rFonts w:ascii="Cambria" w:hAnsi="Cambria"/>
          <w:spacing w:val="-6"/>
          <w:sz w:val="22"/>
        </w:rPr>
        <w:t> </w:t>
      </w:r>
      <w:r>
        <w:rPr>
          <w:rFonts w:ascii="Cambria" w:hAnsi="Cambria"/>
          <w:sz w:val="22"/>
        </w:rPr>
        <w:t>responsible,</w:t>
      </w:r>
      <w:r>
        <w:rPr>
          <w:rFonts w:ascii="Cambria" w:hAnsi="Cambria"/>
          <w:spacing w:val="-6"/>
          <w:sz w:val="22"/>
        </w:rPr>
        <w:t> </w:t>
      </w:r>
      <w:r>
        <w:rPr>
          <w:rFonts w:ascii="Cambria" w:hAnsi="Cambria"/>
          <w:sz w:val="22"/>
        </w:rPr>
        <w:t>and</w:t>
      </w:r>
      <w:r>
        <w:rPr>
          <w:rFonts w:ascii="Cambria" w:hAnsi="Cambria"/>
          <w:spacing w:val="-6"/>
          <w:sz w:val="22"/>
        </w:rPr>
        <w:t> </w:t>
      </w:r>
      <w:r>
        <w:rPr>
          <w:rFonts w:ascii="Cambria" w:hAnsi="Cambria"/>
          <w:sz w:val="22"/>
        </w:rPr>
        <w:t>ethical</w:t>
      </w:r>
      <w:r>
        <w:rPr>
          <w:rFonts w:ascii="Cambria" w:hAnsi="Cambria"/>
          <w:spacing w:val="-5"/>
          <w:sz w:val="22"/>
        </w:rPr>
        <w:t> </w:t>
      </w:r>
      <w:r>
        <w:rPr>
          <w:rFonts w:ascii="Cambria" w:hAnsi="Cambria"/>
          <w:spacing w:val="-2"/>
          <w:sz w:val="22"/>
        </w:rPr>
        <w:t>operations</w:t>
      </w:r>
    </w:p>
    <w:p>
      <w:pPr>
        <w:pStyle w:val="ListParagraph"/>
        <w:numPr>
          <w:ilvl w:val="1"/>
          <w:numId w:val="1"/>
        </w:numPr>
        <w:tabs>
          <w:tab w:pos="286" w:val="left" w:leader="none"/>
        </w:tabs>
        <w:spacing w:line="240" w:lineRule="auto" w:before="18" w:after="0"/>
        <w:ind w:left="286" w:right="0" w:hanging="145"/>
        <w:jc w:val="left"/>
        <w:rPr>
          <w:rFonts w:ascii="Cambria" w:hAnsi="Cambria"/>
          <w:sz w:val="22"/>
        </w:rPr>
      </w:pPr>
      <w:r>
        <w:rPr>
          <w:rFonts w:ascii="Cambria" w:hAnsi="Cambria"/>
          <w:sz w:val="22"/>
        </w:rPr>
        <w:t>Quality</w:t>
      </w:r>
      <w:r>
        <w:rPr>
          <w:rFonts w:ascii="Cambria" w:hAnsi="Cambria"/>
          <w:spacing w:val="-6"/>
          <w:sz w:val="22"/>
        </w:rPr>
        <w:t> </w:t>
      </w:r>
      <w:r>
        <w:rPr>
          <w:rFonts w:ascii="Cambria" w:hAnsi="Cambria"/>
          <w:sz w:val="22"/>
        </w:rPr>
        <w:t>–</w:t>
      </w:r>
      <w:r>
        <w:rPr>
          <w:rFonts w:ascii="Cambria" w:hAnsi="Cambria"/>
          <w:spacing w:val="-4"/>
          <w:sz w:val="22"/>
        </w:rPr>
        <w:t> </w:t>
      </w:r>
      <w:r>
        <w:rPr>
          <w:rFonts w:ascii="Cambria" w:hAnsi="Cambria"/>
          <w:sz w:val="22"/>
        </w:rPr>
        <w:t>High</w:t>
      </w:r>
      <w:r>
        <w:rPr>
          <w:rFonts w:ascii="Cambria" w:hAnsi="Cambria"/>
          <w:spacing w:val="-4"/>
          <w:sz w:val="22"/>
        </w:rPr>
        <w:t> </w:t>
      </w:r>
      <w:r>
        <w:rPr>
          <w:rFonts w:ascii="Cambria" w:hAnsi="Cambria"/>
          <w:sz w:val="22"/>
        </w:rPr>
        <w:t>standards</w:t>
      </w:r>
      <w:r>
        <w:rPr>
          <w:rFonts w:ascii="Cambria" w:hAnsi="Cambria"/>
          <w:spacing w:val="-4"/>
          <w:sz w:val="22"/>
        </w:rPr>
        <w:t> </w:t>
      </w:r>
      <w:r>
        <w:rPr>
          <w:rFonts w:ascii="Cambria" w:hAnsi="Cambria"/>
          <w:sz w:val="22"/>
        </w:rPr>
        <w:t>in</w:t>
      </w:r>
      <w:r>
        <w:rPr>
          <w:rFonts w:ascii="Cambria" w:hAnsi="Cambria"/>
          <w:spacing w:val="-4"/>
          <w:sz w:val="22"/>
        </w:rPr>
        <w:t> </w:t>
      </w:r>
      <w:r>
        <w:rPr>
          <w:rFonts w:ascii="Cambria" w:hAnsi="Cambria"/>
          <w:sz w:val="22"/>
        </w:rPr>
        <w:t>every</w:t>
      </w:r>
      <w:r>
        <w:rPr>
          <w:rFonts w:ascii="Cambria" w:hAnsi="Cambria"/>
          <w:spacing w:val="-5"/>
          <w:sz w:val="22"/>
        </w:rPr>
        <w:t> </w:t>
      </w:r>
      <w:r>
        <w:rPr>
          <w:rFonts w:ascii="Cambria" w:hAnsi="Cambria"/>
          <w:sz w:val="22"/>
        </w:rPr>
        <w:t>project</w:t>
      </w:r>
      <w:r>
        <w:rPr>
          <w:rFonts w:ascii="Cambria" w:hAnsi="Cambria"/>
          <w:spacing w:val="-5"/>
          <w:sz w:val="22"/>
        </w:rPr>
        <w:t> </w:t>
      </w:r>
      <w:r>
        <w:rPr>
          <w:rFonts w:ascii="Cambria" w:hAnsi="Cambria"/>
          <w:spacing w:val="-2"/>
          <w:sz w:val="22"/>
        </w:rPr>
        <w:t>delivered</w:t>
      </w:r>
    </w:p>
    <w:p>
      <w:pPr>
        <w:pStyle w:val="ListParagraph"/>
        <w:numPr>
          <w:ilvl w:val="1"/>
          <w:numId w:val="1"/>
        </w:numPr>
        <w:tabs>
          <w:tab w:pos="286" w:val="left" w:leader="none"/>
        </w:tabs>
        <w:spacing w:line="240" w:lineRule="auto" w:before="18" w:after="0"/>
        <w:ind w:left="286" w:right="0" w:hanging="145"/>
        <w:jc w:val="left"/>
        <w:rPr>
          <w:rFonts w:ascii="Cambria" w:hAnsi="Cambria"/>
          <w:sz w:val="22"/>
        </w:rPr>
      </w:pPr>
      <w:r>
        <w:rPr>
          <w:rFonts w:ascii="Cambria" w:hAnsi="Cambria"/>
          <w:sz w:val="22"/>
        </w:rPr>
        <w:t>Innovation</w:t>
      </w:r>
      <w:r>
        <w:rPr>
          <w:rFonts w:ascii="Cambria" w:hAnsi="Cambria"/>
          <w:spacing w:val="-5"/>
          <w:sz w:val="22"/>
        </w:rPr>
        <w:t> </w:t>
      </w:r>
      <w:r>
        <w:rPr>
          <w:rFonts w:ascii="Cambria" w:hAnsi="Cambria"/>
          <w:sz w:val="22"/>
        </w:rPr>
        <w:t>–</w:t>
      </w:r>
      <w:r>
        <w:rPr>
          <w:rFonts w:ascii="Cambria" w:hAnsi="Cambria"/>
          <w:spacing w:val="-4"/>
          <w:sz w:val="22"/>
        </w:rPr>
        <w:t> </w:t>
      </w:r>
      <w:r>
        <w:rPr>
          <w:rFonts w:ascii="Cambria" w:hAnsi="Cambria"/>
          <w:sz w:val="22"/>
        </w:rPr>
        <w:t>Modern</w:t>
      </w:r>
      <w:r>
        <w:rPr>
          <w:rFonts w:ascii="Cambria" w:hAnsi="Cambria"/>
          <w:spacing w:val="-3"/>
          <w:sz w:val="22"/>
        </w:rPr>
        <w:t> </w:t>
      </w:r>
      <w:r>
        <w:rPr>
          <w:rFonts w:ascii="Cambria" w:hAnsi="Cambria"/>
          <w:sz w:val="22"/>
        </w:rPr>
        <w:t>solutions</w:t>
      </w:r>
      <w:r>
        <w:rPr>
          <w:rFonts w:ascii="Cambria" w:hAnsi="Cambria"/>
          <w:spacing w:val="-4"/>
          <w:sz w:val="22"/>
        </w:rPr>
        <w:t> </w:t>
      </w:r>
      <w:r>
        <w:rPr>
          <w:rFonts w:ascii="Cambria" w:hAnsi="Cambria"/>
          <w:sz w:val="22"/>
        </w:rPr>
        <w:t>in</w:t>
      </w:r>
      <w:r>
        <w:rPr>
          <w:rFonts w:ascii="Cambria" w:hAnsi="Cambria"/>
          <w:spacing w:val="-3"/>
          <w:sz w:val="22"/>
        </w:rPr>
        <w:t> </w:t>
      </w:r>
      <w:r>
        <w:rPr>
          <w:rFonts w:ascii="Cambria" w:hAnsi="Cambria"/>
          <w:sz w:val="22"/>
        </w:rPr>
        <w:t>construction</w:t>
      </w:r>
      <w:r>
        <w:rPr>
          <w:rFonts w:ascii="Cambria" w:hAnsi="Cambria"/>
          <w:spacing w:val="-4"/>
          <w:sz w:val="22"/>
        </w:rPr>
        <w:t> </w:t>
      </w:r>
      <w:r>
        <w:rPr>
          <w:rFonts w:ascii="Cambria" w:hAnsi="Cambria"/>
          <w:sz w:val="22"/>
        </w:rPr>
        <w:t>and</w:t>
      </w:r>
      <w:r>
        <w:rPr>
          <w:rFonts w:ascii="Cambria" w:hAnsi="Cambria"/>
          <w:spacing w:val="-4"/>
          <w:sz w:val="22"/>
        </w:rPr>
        <w:t> </w:t>
      </w:r>
      <w:r>
        <w:rPr>
          <w:rFonts w:ascii="Cambria" w:hAnsi="Cambria"/>
          <w:spacing w:val="-2"/>
          <w:sz w:val="22"/>
        </w:rPr>
        <w:t>investment</w:t>
      </w:r>
    </w:p>
    <w:p>
      <w:pPr>
        <w:pStyle w:val="ListParagraph"/>
        <w:numPr>
          <w:ilvl w:val="1"/>
          <w:numId w:val="1"/>
        </w:numPr>
        <w:tabs>
          <w:tab w:pos="286" w:val="left" w:leader="none"/>
        </w:tabs>
        <w:spacing w:line="240" w:lineRule="auto" w:before="18" w:after="0"/>
        <w:ind w:left="286" w:right="0" w:hanging="145"/>
        <w:jc w:val="left"/>
        <w:rPr>
          <w:rFonts w:ascii="Cambria" w:hAnsi="Cambria"/>
          <w:sz w:val="22"/>
        </w:rPr>
      </w:pPr>
      <w:r>
        <w:rPr>
          <w:rFonts w:ascii="Cambria" w:hAnsi="Cambria"/>
          <w:sz w:val="22"/>
        </w:rPr>
        <w:t>Sustainability</w:t>
      </w:r>
      <w:r>
        <w:rPr>
          <w:rFonts w:ascii="Cambria" w:hAnsi="Cambria"/>
          <w:spacing w:val="-10"/>
          <w:sz w:val="22"/>
        </w:rPr>
        <w:t> </w:t>
      </w:r>
      <w:r>
        <w:rPr>
          <w:rFonts w:ascii="Cambria" w:hAnsi="Cambria"/>
          <w:sz w:val="22"/>
        </w:rPr>
        <w:t>–</w:t>
      </w:r>
      <w:r>
        <w:rPr>
          <w:rFonts w:ascii="Cambria" w:hAnsi="Cambria"/>
          <w:spacing w:val="-7"/>
          <w:sz w:val="22"/>
        </w:rPr>
        <w:t> </w:t>
      </w:r>
      <w:r>
        <w:rPr>
          <w:rFonts w:ascii="Cambria" w:hAnsi="Cambria"/>
          <w:sz w:val="22"/>
        </w:rPr>
        <w:t>Environmentally</w:t>
      </w:r>
      <w:r>
        <w:rPr>
          <w:rFonts w:ascii="Cambria" w:hAnsi="Cambria"/>
          <w:spacing w:val="-8"/>
          <w:sz w:val="22"/>
        </w:rPr>
        <w:t> </w:t>
      </w:r>
      <w:r>
        <w:rPr>
          <w:rFonts w:ascii="Cambria" w:hAnsi="Cambria"/>
          <w:sz w:val="22"/>
        </w:rPr>
        <w:t>aware</w:t>
      </w:r>
      <w:r>
        <w:rPr>
          <w:rFonts w:ascii="Cambria" w:hAnsi="Cambria"/>
          <w:spacing w:val="-7"/>
          <w:sz w:val="22"/>
        </w:rPr>
        <w:t> </w:t>
      </w:r>
      <w:r>
        <w:rPr>
          <w:rFonts w:ascii="Cambria" w:hAnsi="Cambria"/>
          <w:spacing w:val="-2"/>
          <w:sz w:val="22"/>
        </w:rPr>
        <w:t>development</w:t>
      </w:r>
    </w:p>
    <w:p>
      <w:pPr>
        <w:pStyle w:val="ListParagraph"/>
        <w:numPr>
          <w:ilvl w:val="1"/>
          <w:numId w:val="1"/>
        </w:numPr>
        <w:tabs>
          <w:tab w:pos="286" w:val="left" w:leader="none"/>
        </w:tabs>
        <w:spacing w:line="240" w:lineRule="auto" w:before="18" w:after="0"/>
        <w:ind w:left="286" w:right="0" w:hanging="145"/>
        <w:jc w:val="left"/>
        <w:rPr>
          <w:rFonts w:ascii="Cambria" w:hAnsi="Cambria"/>
          <w:sz w:val="22"/>
        </w:rPr>
      </w:pPr>
      <w:r>
        <w:rPr>
          <w:rFonts w:ascii="Cambria" w:hAnsi="Cambria"/>
          <w:sz w:val="22"/>
        </w:rPr>
        <w:t>Growth</w:t>
      </w:r>
      <w:r>
        <w:rPr>
          <w:rFonts w:ascii="Cambria" w:hAnsi="Cambria"/>
          <w:spacing w:val="-5"/>
          <w:sz w:val="22"/>
        </w:rPr>
        <w:t> </w:t>
      </w:r>
      <w:r>
        <w:rPr>
          <w:rFonts w:ascii="Cambria" w:hAnsi="Cambria"/>
          <w:sz w:val="22"/>
        </w:rPr>
        <w:t>–</w:t>
      </w:r>
      <w:r>
        <w:rPr>
          <w:rFonts w:ascii="Cambria" w:hAnsi="Cambria"/>
          <w:spacing w:val="-3"/>
          <w:sz w:val="22"/>
        </w:rPr>
        <w:t> </w:t>
      </w:r>
      <w:r>
        <w:rPr>
          <w:rFonts w:ascii="Cambria" w:hAnsi="Cambria"/>
          <w:sz w:val="22"/>
        </w:rPr>
        <w:t>Long-term</w:t>
      </w:r>
      <w:r>
        <w:rPr>
          <w:rFonts w:ascii="Cambria" w:hAnsi="Cambria"/>
          <w:spacing w:val="-3"/>
          <w:sz w:val="22"/>
        </w:rPr>
        <w:t> </w:t>
      </w:r>
      <w:r>
        <w:rPr>
          <w:rFonts w:ascii="Cambria" w:hAnsi="Cambria"/>
          <w:sz w:val="22"/>
        </w:rPr>
        <w:t>value</w:t>
      </w:r>
      <w:r>
        <w:rPr>
          <w:rFonts w:ascii="Cambria" w:hAnsi="Cambria"/>
          <w:spacing w:val="-3"/>
          <w:sz w:val="22"/>
        </w:rPr>
        <w:t> </w:t>
      </w:r>
      <w:r>
        <w:rPr>
          <w:rFonts w:ascii="Cambria" w:hAnsi="Cambria"/>
          <w:sz w:val="22"/>
        </w:rPr>
        <w:t>for</w:t>
      </w:r>
      <w:r>
        <w:rPr>
          <w:rFonts w:ascii="Cambria" w:hAnsi="Cambria"/>
          <w:spacing w:val="-3"/>
          <w:sz w:val="22"/>
        </w:rPr>
        <w:t> </w:t>
      </w:r>
      <w:r>
        <w:rPr>
          <w:rFonts w:ascii="Cambria" w:hAnsi="Cambria"/>
          <w:sz w:val="22"/>
        </w:rPr>
        <w:t>communities</w:t>
      </w:r>
      <w:r>
        <w:rPr>
          <w:rFonts w:ascii="Cambria" w:hAnsi="Cambria"/>
          <w:spacing w:val="-3"/>
          <w:sz w:val="22"/>
        </w:rPr>
        <w:t> </w:t>
      </w:r>
      <w:r>
        <w:rPr>
          <w:rFonts w:ascii="Cambria" w:hAnsi="Cambria"/>
          <w:sz w:val="22"/>
        </w:rPr>
        <w:t>and</w:t>
      </w:r>
      <w:r>
        <w:rPr>
          <w:rFonts w:ascii="Cambria" w:hAnsi="Cambria"/>
          <w:spacing w:val="-4"/>
          <w:sz w:val="22"/>
        </w:rPr>
        <w:t> </w:t>
      </w:r>
      <w:r>
        <w:rPr>
          <w:rFonts w:ascii="Cambria" w:hAnsi="Cambria"/>
          <w:spacing w:val="-2"/>
          <w:sz w:val="22"/>
        </w:rPr>
        <w:t>partners</w:t>
      </w:r>
    </w:p>
    <w:p>
      <w:pPr>
        <w:pStyle w:val="Heading1"/>
        <w:numPr>
          <w:ilvl w:val="0"/>
          <w:numId w:val="1"/>
        </w:numPr>
        <w:tabs>
          <w:tab w:pos="399" w:val="left" w:leader="none"/>
        </w:tabs>
        <w:spacing w:line="240" w:lineRule="auto" w:before="186" w:after="0"/>
        <w:ind w:left="399" w:right="0" w:hanging="258"/>
        <w:jc w:val="left"/>
      </w:pPr>
      <w:r>
        <w:rPr>
          <w:color w:val="4F81BD"/>
          <w:spacing w:val="-2"/>
        </w:rPr>
        <w:t>Services</w:t>
      </w:r>
    </w:p>
    <w:p>
      <w:pPr>
        <w:pStyle w:val="BodyText"/>
        <w:spacing w:before="74"/>
        <w:rPr>
          <w:rFonts w:ascii="Cambria"/>
        </w:rPr>
      </w:pPr>
      <w:r>
        <w:rPr>
          <w:rFonts w:ascii="Cambria"/>
        </w:rPr>
        <w:t>Investment</w:t>
      </w:r>
      <w:r>
        <w:rPr>
          <w:rFonts w:ascii="Cambria"/>
          <w:spacing w:val="-6"/>
        </w:rPr>
        <w:t> </w:t>
      </w:r>
      <w:r>
        <w:rPr>
          <w:rFonts w:ascii="Cambria"/>
        </w:rPr>
        <w:t>&amp;</w:t>
      </w:r>
      <w:r>
        <w:rPr>
          <w:rFonts w:ascii="Cambria"/>
          <w:spacing w:val="-5"/>
        </w:rPr>
        <w:t> </w:t>
      </w:r>
      <w:r>
        <w:rPr>
          <w:rFonts w:ascii="Cambria"/>
          <w:spacing w:val="-2"/>
        </w:rPr>
        <w:t>Development:</w:t>
      </w:r>
    </w:p>
    <w:p>
      <w:pPr>
        <w:pStyle w:val="BodyText"/>
        <w:spacing w:before="18"/>
        <w:rPr>
          <w:rFonts w:ascii="Cambria"/>
        </w:rPr>
      </w:pPr>
      <w:r>
        <w:rPr>
          <w:rFonts w:ascii="Cambria"/>
        </w:rPr>
        <w:t>Real</w:t>
      </w:r>
      <w:r>
        <w:rPr>
          <w:rFonts w:ascii="Cambria"/>
          <w:spacing w:val="-12"/>
        </w:rPr>
        <w:t> </w:t>
      </w:r>
      <w:r>
        <w:rPr>
          <w:rFonts w:ascii="Cambria"/>
        </w:rPr>
        <w:t>estate</w:t>
      </w:r>
      <w:r>
        <w:rPr>
          <w:rFonts w:ascii="Cambria"/>
          <w:spacing w:val="-9"/>
        </w:rPr>
        <w:t> </w:t>
      </w:r>
      <w:r>
        <w:rPr>
          <w:rFonts w:ascii="Cambria"/>
        </w:rPr>
        <w:t>investments,</w:t>
      </w:r>
      <w:r>
        <w:rPr>
          <w:rFonts w:ascii="Cambria"/>
          <w:spacing w:val="-9"/>
        </w:rPr>
        <w:t> </w:t>
      </w:r>
      <w:r>
        <w:rPr>
          <w:rFonts w:ascii="Cambria"/>
        </w:rPr>
        <w:t>residential/commercial/tourist</w:t>
      </w:r>
      <w:r>
        <w:rPr>
          <w:rFonts w:ascii="Cambria"/>
          <w:spacing w:val="-10"/>
        </w:rPr>
        <w:t> </w:t>
      </w:r>
      <w:r>
        <w:rPr>
          <w:rFonts w:ascii="Cambria"/>
        </w:rPr>
        <w:t>developments,</w:t>
      </w:r>
      <w:r>
        <w:rPr>
          <w:rFonts w:ascii="Cambria"/>
          <w:spacing w:val="-9"/>
        </w:rPr>
        <w:t> </w:t>
      </w:r>
      <w:r>
        <w:rPr>
          <w:rFonts w:ascii="Cambria"/>
        </w:rPr>
        <w:t>land</w:t>
      </w:r>
      <w:r>
        <w:rPr>
          <w:rFonts w:ascii="Cambria"/>
          <w:spacing w:val="-10"/>
        </w:rPr>
        <w:t> </w:t>
      </w:r>
      <w:r>
        <w:rPr>
          <w:rFonts w:ascii="Cambria"/>
        </w:rPr>
        <w:t>feasibility,</w:t>
      </w:r>
      <w:r>
        <w:rPr>
          <w:rFonts w:ascii="Cambria"/>
          <w:spacing w:val="-9"/>
        </w:rPr>
        <w:t> </w:t>
      </w:r>
      <w:r>
        <w:rPr>
          <w:rFonts w:ascii="Cambria"/>
        </w:rPr>
        <w:t>joint</w:t>
      </w:r>
      <w:r>
        <w:rPr>
          <w:rFonts w:ascii="Cambria"/>
          <w:spacing w:val="-8"/>
        </w:rPr>
        <w:t> </w:t>
      </w:r>
      <w:r>
        <w:rPr>
          <w:rFonts w:ascii="Cambria"/>
          <w:spacing w:val="-2"/>
        </w:rPr>
        <w:t>ventures.</w:t>
      </w:r>
    </w:p>
    <w:p>
      <w:pPr>
        <w:pStyle w:val="BodyText"/>
        <w:spacing w:before="36"/>
        <w:ind w:left="0"/>
        <w:rPr>
          <w:rFonts w:ascii="Cambria"/>
        </w:rPr>
      </w:pPr>
    </w:p>
    <w:p>
      <w:pPr>
        <w:pStyle w:val="BodyText"/>
        <w:spacing w:before="1"/>
        <w:rPr>
          <w:rFonts w:ascii="Cambria"/>
        </w:rPr>
      </w:pPr>
      <w:r>
        <w:rPr>
          <w:rFonts w:ascii="Cambria"/>
        </w:rPr>
        <w:t>Construction</w:t>
      </w:r>
      <w:r>
        <w:rPr>
          <w:rFonts w:ascii="Cambria"/>
          <w:spacing w:val="-7"/>
        </w:rPr>
        <w:t> </w:t>
      </w:r>
      <w:r>
        <w:rPr>
          <w:rFonts w:ascii="Cambria"/>
          <w:spacing w:val="-2"/>
        </w:rPr>
        <w:t>Services:</w:t>
      </w:r>
    </w:p>
    <w:p>
      <w:pPr>
        <w:pStyle w:val="BodyText"/>
        <w:spacing w:before="18"/>
        <w:rPr>
          <w:rFonts w:ascii="Cambria"/>
        </w:rPr>
      </w:pPr>
      <w:r>
        <w:rPr>
          <w:rFonts w:ascii="Cambria"/>
        </w:rPr>
        <w:t>Residential</w:t>
      </w:r>
      <w:r>
        <w:rPr>
          <w:rFonts w:ascii="Cambria"/>
          <w:spacing w:val="-7"/>
        </w:rPr>
        <w:t> </w:t>
      </w:r>
      <w:r>
        <w:rPr>
          <w:rFonts w:ascii="Cambria"/>
        </w:rPr>
        <w:t>buildings,</w:t>
      </w:r>
      <w:r>
        <w:rPr>
          <w:rFonts w:ascii="Cambria"/>
          <w:spacing w:val="-7"/>
        </w:rPr>
        <w:t> </w:t>
      </w:r>
      <w:r>
        <w:rPr>
          <w:rFonts w:ascii="Cambria"/>
        </w:rPr>
        <w:t>villas,</w:t>
      </w:r>
      <w:r>
        <w:rPr>
          <w:rFonts w:ascii="Cambria"/>
          <w:spacing w:val="-6"/>
        </w:rPr>
        <w:t> </w:t>
      </w:r>
      <w:r>
        <w:rPr>
          <w:rFonts w:ascii="Cambria"/>
        </w:rPr>
        <w:t>commercial</w:t>
      </w:r>
      <w:r>
        <w:rPr>
          <w:rFonts w:ascii="Cambria"/>
          <w:spacing w:val="-7"/>
        </w:rPr>
        <w:t> </w:t>
      </w:r>
      <w:r>
        <w:rPr>
          <w:rFonts w:ascii="Cambria"/>
        </w:rPr>
        <w:t>spaces,</w:t>
      </w:r>
      <w:r>
        <w:rPr>
          <w:rFonts w:ascii="Cambria"/>
          <w:spacing w:val="-7"/>
        </w:rPr>
        <w:t> </w:t>
      </w:r>
      <w:r>
        <w:rPr>
          <w:rFonts w:ascii="Cambria"/>
        </w:rPr>
        <w:t>renovations,</w:t>
      </w:r>
      <w:r>
        <w:rPr>
          <w:rFonts w:ascii="Cambria"/>
          <w:spacing w:val="-6"/>
        </w:rPr>
        <w:t> </w:t>
      </w:r>
      <w:r>
        <w:rPr>
          <w:rFonts w:ascii="Cambria"/>
        </w:rPr>
        <w:t>full</w:t>
      </w:r>
      <w:r>
        <w:rPr>
          <w:rFonts w:ascii="Cambria"/>
          <w:spacing w:val="-7"/>
        </w:rPr>
        <w:t> </w:t>
      </w:r>
      <w:r>
        <w:rPr>
          <w:rFonts w:ascii="Cambria"/>
        </w:rPr>
        <w:t>project</w:t>
      </w:r>
      <w:r>
        <w:rPr>
          <w:rFonts w:ascii="Cambria"/>
          <w:spacing w:val="-6"/>
        </w:rPr>
        <w:t> </w:t>
      </w:r>
      <w:r>
        <w:rPr>
          <w:rFonts w:ascii="Cambria"/>
          <w:spacing w:val="-2"/>
        </w:rPr>
        <w:t>execution.</w:t>
      </w:r>
    </w:p>
    <w:p>
      <w:pPr>
        <w:pStyle w:val="BodyText"/>
        <w:spacing w:before="36"/>
        <w:ind w:left="0"/>
        <w:rPr>
          <w:rFonts w:ascii="Cambria"/>
        </w:rPr>
      </w:pPr>
    </w:p>
    <w:p>
      <w:pPr>
        <w:pStyle w:val="BodyText"/>
        <w:rPr>
          <w:rFonts w:ascii="Cambria"/>
        </w:rPr>
      </w:pPr>
      <w:r>
        <w:rPr>
          <w:rFonts w:ascii="Cambria"/>
        </w:rPr>
        <w:t>Project</w:t>
      </w:r>
      <w:r>
        <w:rPr>
          <w:rFonts w:ascii="Cambria"/>
          <w:spacing w:val="-8"/>
        </w:rPr>
        <w:t> </w:t>
      </w:r>
      <w:r>
        <w:rPr>
          <w:rFonts w:ascii="Cambria"/>
          <w:spacing w:val="-2"/>
        </w:rPr>
        <w:t>Management:</w:t>
      </w:r>
    </w:p>
    <w:p>
      <w:pPr>
        <w:pStyle w:val="BodyText"/>
        <w:spacing w:before="18"/>
        <w:rPr>
          <w:rFonts w:ascii="Cambria"/>
        </w:rPr>
      </w:pPr>
      <w:r>
        <w:rPr>
          <w:rFonts w:ascii="Cambria"/>
        </w:rPr>
        <w:t>Budgeting,</w:t>
      </w:r>
      <w:r>
        <w:rPr>
          <w:rFonts w:ascii="Cambria"/>
          <w:spacing w:val="-5"/>
        </w:rPr>
        <w:t> </w:t>
      </w:r>
      <w:r>
        <w:rPr>
          <w:rFonts w:ascii="Cambria"/>
        </w:rPr>
        <w:t>cost</w:t>
      </w:r>
      <w:r>
        <w:rPr>
          <w:rFonts w:ascii="Cambria"/>
          <w:spacing w:val="-3"/>
        </w:rPr>
        <w:t> </w:t>
      </w:r>
      <w:r>
        <w:rPr>
          <w:rFonts w:ascii="Cambria"/>
        </w:rPr>
        <w:t>control,</w:t>
      </w:r>
      <w:r>
        <w:rPr>
          <w:rFonts w:ascii="Cambria"/>
          <w:spacing w:val="-4"/>
        </w:rPr>
        <w:t> </w:t>
      </w:r>
      <w:r>
        <w:rPr>
          <w:rFonts w:ascii="Cambria"/>
        </w:rPr>
        <w:t>planning,</w:t>
      </w:r>
      <w:r>
        <w:rPr>
          <w:rFonts w:ascii="Cambria"/>
          <w:spacing w:val="-4"/>
        </w:rPr>
        <w:t> </w:t>
      </w:r>
      <w:r>
        <w:rPr>
          <w:rFonts w:ascii="Cambria"/>
          <w:spacing w:val="-2"/>
        </w:rPr>
        <w:t>supervision.</w:t>
      </w:r>
    </w:p>
    <w:p>
      <w:pPr>
        <w:pStyle w:val="BodyText"/>
        <w:spacing w:before="36"/>
        <w:ind w:left="0"/>
        <w:rPr>
          <w:rFonts w:ascii="Cambria"/>
        </w:rPr>
      </w:pPr>
    </w:p>
    <w:p>
      <w:pPr>
        <w:pStyle w:val="BodyText"/>
        <w:rPr>
          <w:rFonts w:ascii="Cambria"/>
        </w:rPr>
      </w:pPr>
      <w:r>
        <w:rPr>
          <w:rFonts w:ascii="Cambria"/>
          <w:spacing w:val="-2"/>
        </w:rPr>
        <w:t>Consulting:</w:t>
      </w:r>
    </w:p>
    <w:p>
      <w:pPr>
        <w:pStyle w:val="BodyText"/>
        <w:spacing w:before="18"/>
        <w:rPr>
          <w:rFonts w:ascii="Cambria"/>
        </w:rPr>
      </w:pPr>
      <w:r>
        <w:rPr>
          <w:rFonts w:ascii="Cambria"/>
        </w:rPr>
        <w:t>Market</w:t>
      </w:r>
      <w:r>
        <w:rPr>
          <w:rFonts w:ascii="Cambria"/>
          <w:spacing w:val="-11"/>
        </w:rPr>
        <w:t> </w:t>
      </w:r>
      <w:r>
        <w:rPr>
          <w:rFonts w:ascii="Cambria"/>
        </w:rPr>
        <w:t>analysis,</w:t>
      </w:r>
      <w:r>
        <w:rPr>
          <w:rFonts w:ascii="Cambria"/>
          <w:spacing w:val="-11"/>
        </w:rPr>
        <w:t> </w:t>
      </w:r>
      <w:r>
        <w:rPr>
          <w:rFonts w:ascii="Cambria"/>
        </w:rPr>
        <w:t>feasibility,</w:t>
      </w:r>
      <w:r>
        <w:rPr>
          <w:rFonts w:ascii="Cambria"/>
          <w:spacing w:val="-10"/>
        </w:rPr>
        <w:t> </w:t>
      </w:r>
      <w:r>
        <w:rPr>
          <w:rFonts w:ascii="Cambria"/>
        </w:rPr>
        <w:t>urban</w:t>
      </w:r>
      <w:r>
        <w:rPr>
          <w:rFonts w:ascii="Cambria"/>
          <w:spacing w:val="-11"/>
        </w:rPr>
        <w:t> </w:t>
      </w:r>
      <w:r>
        <w:rPr>
          <w:rFonts w:ascii="Cambria"/>
        </w:rPr>
        <w:t>planning,</w:t>
      </w:r>
      <w:r>
        <w:rPr>
          <w:rFonts w:ascii="Cambria"/>
          <w:spacing w:val="-10"/>
        </w:rPr>
        <w:t> </w:t>
      </w:r>
      <w:r>
        <w:rPr>
          <w:rFonts w:ascii="Cambria"/>
          <w:spacing w:val="-2"/>
        </w:rPr>
        <w:t>permits.</w:t>
      </w:r>
    </w:p>
    <w:p>
      <w:pPr>
        <w:pStyle w:val="Heading1"/>
        <w:numPr>
          <w:ilvl w:val="0"/>
          <w:numId w:val="1"/>
        </w:numPr>
        <w:tabs>
          <w:tab w:pos="399" w:val="left" w:leader="none"/>
        </w:tabs>
        <w:spacing w:line="240" w:lineRule="auto" w:before="186" w:after="0"/>
        <w:ind w:left="399" w:right="0" w:hanging="258"/>
        <w:jc w:val="left"/>
      </w:pPr>
      <w:r>
        <w:rPr>
          <w:color w:val="4F81BD"/>
        </w:rPr>
        <w:t>Brand</w:t>
      </w:r>
      <w:r>
        <w:rPr>
          <w:color w:val="4F81BD"/>
          <w:spacing w:val="-10"/>
        </w:rPr>
        <w:t> </w:t>
      </w:r>
      <w:r>
        <w:rPr>
          <w:color w:val="4F81BD"/>
          <w:spacing w:val="-2"/>
        </w:rPr>
        <w:t>Identity</w:t>
      </w:r>
    </w:p>
    <w:p>
      <w:pPr>
        <w:pStyle w:val="BodyText"/>
        <w:spacing w:before="74"/>
        <w:rPr>
          <w:rFonts w:ascii="Cambria"/>
        </w:rPr>
      </w:pPr>
      <w:r>
        <w:rPr>
          <w:rFonts w:ascii="Cambria"/>
        </w:rPr>
        <w:t>Modern,</w:t>
      </w:r>
      <w:r>
        <w:rPr>
          <w:rFonts w:ascii="Cambria"/>
          <w:spacing w:val="-9"/>
        </w:rPr>
        <w:t> </w:t>
      </w:r>
      <w:r>
        <w:rPr>
          <w:rFonts w:ascii="Cambria"/>
        </w:rPr>
        <w:t>geometric,</w:t>
      </w:r>
      <w:r>
        <w:rPr>
          <w:rFonts w:ascii="Cambria"/>
          <w:spacing w:val="-7"/>
        </w:rPr>
        <w:t> </w:t>
      </w:r>
      <w:r>
        <w:rPr>
          <w:rFonts w:ascii="Cambria"/>
        </w:rPr>
        <w:t>professional</w:t>
      </w:r>
      <w:r>
        <w:rPr>
          <w:rFonts w:ascii="Cambria"/>
          <w:spacing w:val="-7"/>
        </w:rPr>
        <w:t> </w:t>
      </w:r>
      <w:r>
        <w:rPr>
          <w:rFonts w:ascii="Cambria"/>
        </w:rPr>
        <w:t>style.</w:t>
      </w:r>
      <w:r>
        <w:rPr>
          <w:rFonts w:ascii="Cambria"/>
          <w:spacing w:val="-6"/>
        </w:rPr>
        <w:t> </w:t>
      </w:r>
      <w:r>
        <w:rPr>
          <w:rFonts w:ascii="Cambria"/>
        </w:rPr>
        <w:t>Brand</w:t>
      </w:r>
      <w:r>
        <w:rPr>
          <w:rFonts w:ascii="Cambria"/>
          <w:spacing w:val="-7"/>
        </w:rPr>
        <w:t> </w:t>
      </w:r>
      <w:r>
        <w:rPr>
          <w:rFonts w:ascii="Cambria"/>
        </w:rPr>
        <w:t>colors:</w:t>
      </w:r>
      <w:r>
        <w:rPr>
          <w:rFonts w:ascii="Cambria"/>
          <w:spacing w:val="-7"/>
        </w:rPr>
        <w:t> </w:t>
      </w:r>
      <w:r>
        <w:rPr>
          <w:rFonts w:ascii="Cambria"/>
        </w:rPr>
        <w:t>Navy</w:t>
      </w:r>
      <w:r>
        <w:rPr>
          <w:rFonts w:ascii="Cambria"/>
          <w:spacing w:val="-6"/>
        </w:rPr>
        <w:t> </w:t>
      </w:r>
      <w:r>
        <w:rPr>
          <w:rFonts w:ascii="Cambria"/>
        </w:rPr>
        <w:t>Blue,</w:t>
      </w:r>
      <w:r>
        <w:rPr>
          <w:rFonts w:ascii="Cambria"/>
          <w:spacing w:val="-7"/>
        </w:rPr>
        <w:t> </w:t>
      </w:r>
      <w:r>
        <w:rPr>
          <w:rFonts w:ascii="Cambria"/>
        </w:rPr>
        <w:t>Steel</w:t>
      </w:r>
      <w:r>
        <w:rPr>
          <w:rFonts w:ascii="Cambria"/>
          <w:spacing w:val="-7"/>
        </w:rPr>
        <w:t> </w:t>
      </w:r>
      <w:r>
        <w:rPr>
          <w:rFonts w:ascii="Cambria"/>
        </w:rPr>
        <w:t>Grey,</w:t>
      </w:r>
      <w:r>
        <w:rPr>
          <w:rFonts w:ascii="Cambria"/>
          <w:spacing w:val="-6"/>
        </w:rPr>
        <w:t> </w:t>
      </w:r>
      <w:r>
        <w:rPr>
          <w:rFonts w:ascii="Cambria"/>
        </w:rPr>
        <w:t>Gold</w:t>
      </w:r>
      <w:r>
        <w:rPr>
          <w:rFonts w:ascii="Cambria"/>
          <w:spacing w:val="-6"/>
        </w:rPr>
        <w:t> </w:t>
      </w:r>
      <w:r>
        <w:rPr>
          <w:rFonts w:ascii="Cambria"/>
          <w:spacing w:val="-2"/>
        </w:rPr>
        <w:t>Accent.</w:t>
      </w:r>
    </w:p>
    <w:p>
      <w:pPr>
        <w:pStyle w:val="BodyText"/>
        <w:spacing w:after="0"/>
        <w:rPr>
          <w:rFonts w:ascii="Cambria"/>
        </w:rPr>
        <w:sectPr>
          <w:type w:val="continuous"/>
          <w:pgSz w:w="11910" w:h="16840"/>
          <w:pgMar w:top="1060" w:bottom="280" w:left="992" w:right="992"/>
        </w:sectPr>
      </w:pPr>
    </w:p>
    <w:p>
      <w:pPr>
        <w:pStyle w:val="Heading1"/>
        <w:numPr>
          <w:ilvl w:val="0"/>
          <w:numId w:val="1"/>
        </w:numPr>
        <w:tabs>
          <w:tab w:pos="401" w:val="left" w:leader="none"/>
        </w:tabs>
        <w:spacing w:line="240" w:lineRule="auto" w:before="26" w:after="0"/>
        <w:ind w:left="401" w:right="0" w:hanging="260"/>
        <w:jc w:val="left"/>
      </w:pPr>
      <w:r>
        <w:rPr>
          <w:color w:val="4F81BD"/>
        </w:rPr>
        <w:t>Activity</w:t>
      </w:r>
      <w:r>
        <w:rPr>
          <w:color w:val="4F81BD"/>
          <w:spacing w:val="-6"/>
        </w:rPr>
        <w:t> </w:t>
      </w:r>
      <w:r>
        <w:rPr>
          <w:color w:val="4F81BD"/>
        </w:rPr>
        <w:t>Description</w:t>
      </w:r>
      <w:r>
        <w:rPr>
          <w:color w:val="4F81BD"/>
          <w:spacing w:val="-5"/>
        </w:rPr>
        <w:t> </w:t>
      </w:r>
      <w:r>
        <w:rPr>
          <w:color w:val="4F81BD"/>
        </w:rPr>
        <w:t>(For</w:t>
      </w:r>
      <w:r>
        <w:rPr>
          <w:color w:val="4F81BD"/>
          <w:spacing w:val="-5"/>
        </w:rPr>
        <w:t> </w:t>
      </w:r>
      <w:r>
        <w:rPr>
          <w:color w:val="4F81BD"/>
        </w:rPr>
        <w:t>QKB</w:t>
      </w:r>
      <w:r>
        <w:rPr>
          <w:color w:val="4F81BD"/>
          <w:spacing w:val="-5"/>
        </w:rPr>
        <w:t> </w:t>
      </w:r>
      <w:r>
        <w:rPr>
          <w:color w:val="4F81BD"/>
        </w:rPr>
        <w:t>/</w:t>
      </w:r>
      <w:r>
        <w:rPr>
          <w:color w:val="4F81BD"/>
          <w:spacing w:val="-5"/>
        </w:rPr>
        <w:t> </w:t>
      </w:r>
      <w:r>
        <w:rPr>
          <w:color w:val="4F81BD"/>
        </w:rPr>
        <w:t>Official</w:t>
      </w:r>
      <w:r>
        <w:rPr>
          <w:color w:val="4F81BD"/>
          <w:spacing w:val="-5"/>
        </w:rPr>
        <w:t> </w:t>
      </w:r>
      <w:r>
        <w:rPr>
          <w:color w:val="4F81BD"/>
          <w:spacing w:val="-4"/>
        </w:rPr>
        <w:t>Use)</w:t>
      </w:r>
    </w:p>
    <w:p>
      <w:pPr>
        <w:pStyle w:val="BodyText"/>
        <w:spacing w:line="256" w:lineRule="auto" w:before="74"/>
        <w:ind w:right="139"/>
        <w:jc w:val="both"/>
        <w:rPr>
          <w:rFonts w:ascii="Cambria" w:hAnsi="Cambria"/>
        </w:rPr>
      </w:pPr>
      <w:r>
        <w:rPr>
          <w:rFonts w:ascii="Cambria" w:hAnsi="Cambria"/>
        </w:rPr>
        <w:t>SouthBuild</w:t>
      </w:r>
      <w:r>
        <w:rPr>
          <w:rFonts w:ascii="Cambria" w:hAnsi="Cambria"/>
          <w:spacing w:val="-2"/>
        </w:rPr>
        <w:t> </w:t>
      </w:r>
      <w:r>
        <w:rPr>
          <w:rFonts w:ascii="Cambria" w:hAnsi="Cambria"/>
        </w:rPr>
        <w:t>Invest</w:t>
      </w:r>
      <w:r>
        <w:rPr>
          <w:rFonts w:ascii="Cambria" w:hAnsi="Cambria"/>
          <w:spacing w:val="-1"/>
        </w:rPr>
        <w:t> </w:t>
      </w:r>
      <w:r>
        <w:rPr>
          <w:rFonts w:ascii="Cambria" w:hAnsi="Cambria"/>
        </w:rPr>
        <w:t>ushtron</w:t>
      </w:r>
      <w:r>
        <w:rPr>
          <w:rFonts w:ascii="Cambria" w:hAnsi="Cambria"/>
          <w:spacing w:val="-2"/>
        </w:rPr>
        <w:t> </w:t>
      </w:r>
      <w:r>
        <w:rPr>
          <w:rFonts w:ascii="Cambria" w:hAnsi="Cambria"/>
        </w:rPr>
        <w:t>veprimtari</w:t>
      </w:r>
      <w:r>
        <w:rPr>
          <w:rFonts w:ascii="Cambria" w:hAnsi="Cambria"/>
          <w:spacing w:val="-2"/>
        </w:rPr>
        <w:t> </w:t>
      </w:r>
      <w:r>
        <w:rPr>
          <w:rFonts w:ascii="Cambria" w:hAnsi="Cambria"/>
        </w:rPr>
        <w:t>në</w:t>
      </w:r>
      <w:r>
        <w:rPr>
          <w:rFonts w:ascii="Cambria" w:hAnsi="Cambria"/>
          <w:spacing w:val="-2"/>
        </w:rPr>
        <w:t> </w:t>
      </w:r>
      <w:r>
        <w:rPr>
          <w:rFonts w:ascii="Cambria" w:hAnsi="Cambria"/>
        </w:rPr>
        <w:t>fushën</w:t>
      </w:r>
      <w:r>
        <w:rPr>
          <w:rFonts w:ascii="Cambria" w:hAnsi="Cambria"/>
          <w:spacing w:val="-2"/>
        </w:rPr>
        <w:t> </w:t>
      </w:r>
      <w:r>
        <w:rPr>
          <w:rFonts w:ascii="Cambria" w:hAnsi="Cambria"/>
        </w:rPr>
        <w:t>e</w:t>
      </w:r>
      <w:r>
        <w:rPr>
          <w:rFonts w:ascii="Cambria" w:hAnsi="Cambria"/>
          <w:spacing w:val="-2"/>
        </w:rPr>
        <w:t> </w:t>
      </w:r>
      <w:r>
        <w:rPr>
          <w:rFonts w:ascii="Cambria" w:hAnsi="Cambria"/>
        </w:rPr>
        <w:t>investimeve</w:t>
      </w:r>
      <w:r>
        <w:rPr>
          <w:rFonts w:ascii="Cambria" w:hAnsi="Cambria"/>
          <w:spacing w:val="-2"/>
        </w:rPr>
        <w:t> </w:t>
      </w:r>
      <w:r>
        <w:rPr>
          <w:rFonts w:ascii="Cambria" w:hAnsi="Cambria"/>
        </w:rPr>
        <w:t>dhe</w:t>
      </w:r>
      <w:r>
        <w:rPr>
          <w:rFonts w:ascii="Cambria" w:hAnsi="Cambria"/>
          <w:spacing w:val="-2"/>
        </w:rPr>
        <w:t> </w:t>
      </w:r>
      <w:r>
        <w:rPr>
          <w:rFonts w:ascii="Cambria" w:hAnsi="Cambria"/>
        </w:rPr>
        <w:t>zhvillimit</w:t>
      </w:r>
      <w:r>
        <w:rPr>
          <w:rFonts w:ascii="Cambria" w:hAnsi="Cambria"/>
          <w:spacing w:val="-2"/>
        </w:rPr>
        <w:t> </w:t>
      </w:r>
      <w:r>
        <w:rPr>
          <w:rFonts w:ascii="Cambria" w:hAnsi="Cambria"/>
        </w:rPr>
        <w:t>të</w:t>
      </w:r>
      <w:r>
        <w:rPr>
          <w:rFonts w:ascii="Cambria" w:hAnsi="Cambria"/>
          <w:spacing w:val="-2"/>
        </w:rPr>
        <w:t> </w:t>
      </w:r>
      <w:r>
        <w:rPr>
          <w:rFonts w:ascii="Cambria" w:hAnsi="Cambria"/>
        </w:rPr>
        <w:t>projekteve</w:t>
      </w:r>
      <w:r>
        <w:rPr>
          <w:rFonts w:ascii="Cambria" w:hAnsi="Cambria"/>
          <w:spacing w:val="-2"/>
        </w:rPr>
        <w:t> </w:t>
      </w:r>
      <w:r>
        <w:rPr>
          <w:rFonts w:ascii="Cambria" w:hAnsi="Cambria"/>
        </w:rPr>
        <w:t>në</w:t>
      </w:r>
      <w:r>
        <w:rPr>
          <w:rFonts w:ascii="Cambria" w:hAnsi="Cambria"/>
          <w:spacing w:val="-2"/>
        </w:rPr>
        <w:t> </w:t>
      </w:r>
      <w:r>
        <w:rPr>
          <w:rFonts w:ascii="Cambria" w:hAnsi="Cambria"/>
        </w:rPr>
        <w:t>Shqipëri, duke përfshirë investime në pasuri të paluajtshme, turizëm, infrastrukturë, energji të rinovueshme, administrim pronash, konsulencë, studime Xizibiliteti, bashkëpunime me investitorë vendas dhe të huaj, dhe pjesëmarrje në tendera publikë ose privatë.</w:t>
      </w:r>
    </w:p>
    <w:p>
      <w:pPr>
        <w:pStyle w:val="BodyText"/>
        <w:ind w:left="0"/>
        <w:rPr>
          <w:rFonts w:ascii="Cambria"/>
          <w:sz w:val="20"/>
        </w:rPr>
      </w:pPr>
    </w:p>
    <w:p>
      <w:pPr>
        <w:pStyle w:val="BodyText"/>
        <w:spacing w:before="201"/>
        <w:ind w:left="0"/>
        <w:rPr>
          <w:rFonts w:ascii="Cambria"/>
          <w:sz w:val="20"/>
        </w:rPr>
      </w:pPr>
      <w:r>
        <w:rPr>
          <w:rFonts w:ascii="Cambria"/>
          <w:sz w:val="20"/>
        </w:rPr>
        <w:drawing>
          <wp:anchor distT="0" distB="0" distL="0" distR="0" allowOverlap="1" layoutInCell="1" locked="0" behindDoc="1" simplePos="0" relativeHeight="487588352">
            <wp:simplePos x="0" y="0"/>
            <wp:positionH relativeFrom="page">
              <wp:posOffset>720000</wp:posOffset>
            </wp:positionH>
            <wp:positionV relativeFrom="paragraph">
              <wp:posOffset>291907</wp:posOffset>
            </wp:positionV>
            <wp:extent cx="4486656" cy="44866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86656" cy="4486656"/>
                    </a:xfrm>
                    <a:prstGeom prst="rect">
                      <a:avLst/>
                    </a:prstGeom>
                  </pic:spPr>
                </pic:pic>
              </a:graphicData>
            </a:graphic>
          </wp:anchor>
        </w:drawing>
      </w:r>
    </w:p>
    <w:p>
      <w:pPr>
        <w:pStyle w:val="BodyText"/>
        <w:spacing w:after="0"/>
        <w:rPr>
          <w:rFonts w:ascii="Cambria"/>
          <w:sz w:val="20"/>
        </w:rPr>
        <w:sectPr>
          <w:pgSz w:w="11910" w:h="16840"/>
          <w:pgMar w:top="1040" w:bottom="280" w:left="992" w:right="992"/>
        </w:sectPr>
      </w:pPr>
    </w:p>
    <w:p>
      <w:pPr>
        <w:tabs>
          <w:tab w:pos="5459" w:val="left" w:leader="none"/>
        </w:tabs>
        <w:spacing w:line="240" w:lineRule="auto"/>
        <w:ind w:left="141" w:right="0" w:firstLine="0"/>
        <w:rPr>
          <w:rFonts w:ascii="Cambria"/>
          <w:position w:val="35"/>
          <w:sz w:val="20"/>
        </w:rPr>
      </w:pPr>
      <w:r>
        <w:rPr>
          <w:rFonts w:ascii="Cambria"/>
          <w:sz w:val="20"/>
        </w:rPr>
        <w:drawing>
          <wp:inline distT="0" distB="0" distL="0" distR="0">
            <wp:extent cx="2732670" cy="409651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732670" cy="4096512"/>
                    </a:xfrm>
                    <a:prstGeom prst="rect">
                      <a:avLst/>
                    </a:prstGeom>
                  </pic:spPr>
                </pic:pic>
              </a:graphicData>
            </a:graphic>
          </wp:inline>
        </w:drawing>
      </w:r>
      <w:r>
        <w:rPr>
          <w:rFonts w:ascii="Cambria"/>
          <w:sz w:val="20"/>
        </w:rPr>
      </w:r>
      <w:r>
        <w:rPr>
          <w:rFonts w:ascii="Cambria"/>
          <w:sz w:val="20"/>
        </w:rPr>
        <w:tab/>
      </w:r>
      <w:r>
        <w:rPr>
          <w:rFonts w:ascii="Cambria"/>
          <w:position w:val="35"/>
          <w:sz w:val="20"/>
        </w:rPr>
        <w:drawing>
          <wp:inline distT="0" distB="0" distL="0" distR="0">
            <wp:extent cx="2731007" cy="273100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731007" cy="2731007"/>
                    </a:xfrm>
                    <a:prstGeom prst="rect">
                      <a:avLst/>
                    </a:prstGeom>
                  </pic:spPr>
                </pic:pic>
              </a:graphicData>
            </a:graphic>
          </wp:inline>
        </w:drawing>
      </w:r>
      <w:r>
        <w:rPr>
          <w:rFonts w:ascii="Cambria"/>
          <w:position w:val="35"/>
          <w:sz w:val="20"/>
        </w:rPr>
      </w:r>
    </w:p>
    <w:p>
      <w:pPr>
        <w:spacing w:after="0" w:line="240" w:lineRule="auto"/>
        <w:rPr>
          <w:rFonts w:ascii="Cambria"/>
          <w:position w:val="35"/>
          <w:sz w:val="20"/>
        </w:rPr>
        <w:sectPr>
          <w:pgSz w:w="11910" w:h="16840"/>
          <w:pgMar w:top="1120" w:bottom="280" w:left="992" w:right="992"/>
        </w:sectPr>
      </w:pPr>
    </w:p>
    <w:p>
      <w:pPr>
        <w:spacing w:before="43"/>
        <w:ind w:left="141" w:right="0" w:firstLine="0"/>
        <w:jc w:val="both"/>
        <w:rPr>
          <w:b/>
          <w:sz w:val="22"/>
        </w:rPr>
      </w:pPr>
      <w:r>
        <w:rPr>
          <w:b/>
          <w:sz w:val="22"/>
        </w:rPr>
        <w:t>SouthBuild</w:t>
      </w:r>
      <w:r>
        <w:rPr>
          <w:b/>
          <w:spacing w:val="-5"/>
          <w:sz w:val="22"/>
        </w:rPr>
        <w:t> </w:t>
      </w:r>
      <w:r>
        <w:rPr>
          <w:b/>
          <w:sz w:val="22"/>
        </w:rPr>
        <w:t>Invest</w:t>
      </w:r>
      <w:r>
        <w:rPr>
          <w:b/>
          <w:spacing w:val="-4"/>
          <w:sz w:val="22"/>
        </w:rPr>
        <w:t> </w:t>
      </w:r>
      <w:r>
        <w:rPr>
          <w:b/>
          <w:sz w:val="22"/>
        </w:rPr>
        <w:t>—</w:t>
      </w:r>
      <w:r>
        <w:rPr>
          <w:b/>
          <w:spacing w:val="-3"/>
          <w:sz w:val="22"/>
        </w:rPr>
        <w:t> </w:t>
      </w:r>
      <w:r>
        <w:rPr>
          <w:b/>
          <w:sz w:val="22"/>
        </w:rPr>
        <w:t>Profili</w:t>
      </w:r>
      <w:r>
        <w:rPr>
          <w:b/>
          <w:spacing w:val="-3"/>
          <w:sz w:val="22"/>
        </w:rPr>
        <w:t> </w:t>
      </w:r>
      <w:r>
        <w:rPr>
          <w:b/>
          <w:sz w:val="22"/>
        </w:rPr>
        <w:t>i</w:t>
      </w:r>
      <w:r>
        <w:rPr>
          <w:b/>
          <w:spacing w:val="-3"/>
          <w:sz w:val="22"/>
        </w:rPr>
        <w:t> </w:t>
      </w:r>
      <w:r>
        <w:rPr>
          <w:b/>
          <w:sz w:val="22"/>
        </w:rPr>
        <w:t>Plotë</w:t>
      </w:r>
      <w:r>
        <w:rPr>
          <w:b/>
          <w:spacing w:val="-3"/>
          <w:sz w:val="22"/>
        </w:rPr>
        <w:t> </w:t>
      </w:r>
      <w:r>
        <w:rPr>
          <w:b/>
          <w:sz w:val="22"/>
        </w:rPr>
        <w:t>i</w:t>
      </w:r>
      <w:r>
        <w:rPr>
          <w:b/>
          <w:spacing w:val="-3"/>
          <w:sz w:val="22"/>
        </w:rPr>
        <w:t> </w:t>
      </w:r>
      <w:r>
        <w:rPr>
          <w:b/>
          <w:spacing w:val="-2"/>
          <w:sz w:val="22"/>
        </w:rPr>
        <w:t>Kompanisë</w:t>
      </w:r>
    </w:p>
    <w:p>
      <w:pPr>
        <w:pStyle w:val="BodyText"/>
        <w:spacing w:before="96"/>
        <w:ind w:left="0"/>
        <w:rPr>
          <w:b/>
          <w:sz w:val="20"/>
        </w:rPr>
      </w:pPr>
      <w:r>
        <w:rPr>
          <w:b/>
          <w:sz w:val="20"/>
        </w:rPr>
        <w:drawing>
          <wp:anchor distT="0" distB="0" distL="0" distR="0" allowOverlap="1" layoutInCell="1" locked="0" behindDoc="1" simplePos="0" relativeHeight="487588864">
            <wp:simplePos x="0" y="0"/>
            <wp:positionH relativeFrom="page">
              <wp:posOffset>720000</wp:posOffset>
            </wp:positionH>
            <wp:positionV relativeFrom="paragraph">
              <wp:posOffset>231553</wp:posOffset>
            </wp:positionV>
            <wp:extent cx="2804556" cy="82638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2804556" cy="826388"/>
                    </a:xfrm>
                    <a:prstGeom prst="rect">
                      <a:avLst/>
                    </a:prstGeom>
                  </pic:spPr>
                </pic:pic>
              </a:graphicData>
            </a:graphic>
          </wp:anchor>
        </w:drawing>
      </w:r>
    </w:p>
    <w:p>
      <w:pPr>
        <w:pStyle w:val="BodyText"/>
        <w:spacing w:before="57"/>
        <w:ind w:left="0"/>
        <w:rPr>
          <w:b/>
        </w:rPr>
      </w:pPr>
    </w:p>
    <w:p>
      <w:pPr>
        <w:pStyle w:val="Heading1"/>
        <w:numPr>
          <w:ilvl w:val="0"/>
          <w:numId w:val="2"/>
        </w:numPr>
        <w:tabs>
          <w:tab w:pos="401" w:val="left" w:leader="none"/>
        </w:tabs>
        <w:spacing w:line="240" w:lineRule="auto" w:before="0" w:after="0"/>
        <w:ind w:left="401" w:right="0" w:hanging="260"/>
        <w:jc w:val="both"/>
      </w:pPr>
      <w:r>
        <w:rPr>
          <w:color w:val="4F81BD"/>
        </w:rPr>
        <w:t>Përshkrimi</w:t>
      </w:r>
      <w:r>
        <w:rPr>
          <w:color w:val="4F81BD"/>
          <w:spacing w:val="-5"/>
        </w:rPr>
        <w:t> </w:t>
      </w:r>
      <w:r>
        <w:rPr>
          <w:color w:val="4F81BD"/>
        </w:rPr>
        <w:t>i</w:t>
      </w:r>
      <w:r>
        <w:rPr>
          <w:color w:val="4F81BD"/>
          <w:spacing w:val="-5"/>
        </w:rPr>
        <w:t> </w:t>
      </w:r>
      <w:r>
        <w:rPr>
          <w:color w:val="4F81BD"/>
          <w:spacing w:val="-2"/>
        </w:rPr>
        <w:t>Kompanisë</w:t>
      </w:r>
    </w:p>
    <w:p>
      <w:pPr>
        <w:pStyle w:val="BodyText"/>
        <w:spacing w:line="232" w:lineRule="auto" w:before="46"/>
        <w:ind w:right="139"/>
        <w:jc w:val="both"/>
      </w:pPr>
      <w:r>
        <w:rPr/>
        <w:t>SouthBuild</w:t>
      </w:r>
      <w:r>
        <w:rPr>
          <w:spacing w:val="-5"/>
        </w:rPr>
        <w:t> </w:t>
      </w:r>
      <w:r>
        <w:rPr/>
        <w:t>Invest</w:t>
      </w:r>
      <w:r>
        <w:rPr>
          <w:spacing w:val="-5"/>
        </w:rPr>
        <w:t> </w:t>
      </w:r>
      <w:r>
        <w:rPr/>
        <w:t>është</w:t>
      </w:r>
      <w:r>
        <w:rPr>
          <w:spacing w:val="-5"/>
        </w:rPr>
        <w:t> </w:t>
      </w:r>
      <w:r>
        <w:rPr/>
        <w:t>një</w:t>
      </w:r>
      <w:r>
        <w:rPr>
          <w:spacing w:val="-5"/>
        </w:rPr>
        <w:t> </w:t>
      </w:r>
      <w:r>
        <w:rPr/>
        <w:t>kompani</w:t>
      </w:r>
      <w:r>
        <w:rPr>
          <w:spacing w:val="-5"/>
        </w:rPr>
        <w:t> </w:t>
      </w:r>
      <w:r>
        <w:rPr/>
        <w:t>shqiptare</w:t>
      </w:r>
      <w:r>
        <w:rPr>
          <w:spacing w:val="-5"/>
        </w:rPr>
        <w:t> </w:t>
      </w:r>
      <w:r>
        <w:rPr/>
        <w:t>investimesh</w:t>
      </w:r>
      <w:r>
        <w:rPr>
          <w:spacing w:val="-5"/>
        </w:rPr>
        <w:t> </w:t>
      </w:r>
      <w:r>
        <w:rPr/>
        <w:t>dhe</w:t>
      </w:r>
      <w:r>
        <w:rPr>
          <w:spacing w:val="-5"/>
        </w:rPr>
        <w:t> </w:t>
      </w:r>
      <w:r>
        <w:rPr/>
        <w:t>zhvillimi,</w:t>
      </w:r>
      <w:r>
        <w:rPr>
          <w:spacing w:val="-5"/>
        </w:rPr>
        <w:t> </w:t>
      </w:r>
      <w:r>
        <w:rPr/>
        <w:t>e</w:t>
      </w:r>
      <w:r>
        <w:rPr>
          <w:spacing w:val="-5"/>
        </w:rPr>
        <w:t> </w:t>
      </w:r>
      <w:r>
        <w:rPr/>
        <w:t>fokusuar</w:t>
      </w:r>
      <w:r>
        <w:rPr>
          <w:spacing w:val="-5"/>
        </w:rPr>
        <w:t> </w:t>
      </w:r>
      <w:r>
        <w:rPr/>
        <w:t>në</w:t>
      </w:r>
      <w:r>
        <w:rPr>
          <w:spacing w:val="-5"/>
        </w:rPr>
        <w:t> </w:t>
      </w:r>
      <w:r>
        <w:rPr/>
        <w:t>krijimin</w:t>
      </w:r>
      <w:r>
        <w:rPr>
          <w:spacing w:val="-5"/>
        </w:rPr>
        <w:t> </w:t>
      </w:r>
      <w:r>
        <w:rPr/>
        <w:t>e</w:t>
      </w:r>
      <w:r>
        <w:rPr>
          <w:spacing w:val="-5"/>
        </w:rPr>
        <w:t> </w:t>
      </w:r>
      <w:r>
        <w:rPr/>
        <w:t>projekteve të qëndrueshme dhe me vlerë të lartë në të gjithë territorin e Shqipërisë. Duke nisur nga mundësitë e forta në jug dhe duke u zgjeruar në nivel kombëtar, kompania operon në zhvillimin e pasurive të paluajtshme, ndërtim, investime strategjike dhe menaxhim projektesh.</w:t>
      </w:r>
    </w:p>
    <w:p>
      <w:pPr>
        <w:pStyle w:val="BodyText"/>
        <w:spacing w:line="232" w:lineRule="auto" w:before="238"/>
        <w:ind w:right="139"/>
        <w:jc w:val="both"/>
      </w:pPr>
      <w:r>
        <w:rPr/>
        <w:t>Me një bazë të fortë të ndërtuar mbi transparencën, cilësinë dhe vizionin afatgjatë, SouthBuild Invest identifikon mundësi, zhvillon asete moderne dhe kontribuon në rritjen ekonomike dhe infrastrukturore të vendit.</w:t>
      </w:r>
      <w:r>
        <w:rPr>
          <w:spacing w:val="-5"/>
        </w:rPr>
        <w:t> </w:t>
      </w:r>
      <w:r>
        <w:rPr/>
        <w:t>Qasja</w:t>
      </w:r>
      <w:r>
        <w:rPr>
          <w:spacing w:val="-5"/>
        </w:rPr>
        <w:t> </w:t>
      </w:r>
      <w:r>
        <w:rPr/>
        <w:t>jonë</w:t>
      </w:r>
      <w:r>
        <w:rPr>
          <w:spacing w:val="-5"/>
        </w:rPr>
        <w:t> </w:t>
      </w:r>
      <w:r>
        <w:rPr/>
        <w:t>kombinon</w:t>
      </w:r>
      <w:r>
        <w:rPr>
          <w:spacing w:val="-5"/>
        </w:rPr>
        <w:t> </w:t>
      </w:r>
      <w:r>
        <w:rPr/>
        <w:t>ekspertizën</w:t>
      </w:r>
      <w:r>
        <w:rPr>
          <w:spacing w:val="-5"/>
        </w:rPr>
        <w:t> </w:t>
      </w:r>
      <w:r>
        <w:rPr/>
        <w:t>e</w:t>
      </w:r>
      <w:r>
        <w:rPr>
          <w:spacing w:val="-5"/>
        </w:rPr>
        <w:t> </w:t>
      </w:r>
      <w:r>
        <w:rPr/>
        <w:t>tregut,</w:t>
      </w:r>
      <w:r>
        <w:rPr>
          <w:spacing w:val="-5"/>
        </w:rPr>
        <w:t> </w:t>
      </w:r>
      <w:r>
        <w:rPr/>
        <w:t>inovacionin</w:t>
      </w:r>
      <w:r>
        <w:rPr>
          <w:spacing w:val="-5"/>
        </w:rPr>
        <w:t> </w:t>
      </w:r>
      <w:r>
        <w:rPr/>
        <w:t>inxhinierik</w:t>
      </w:r>
      <w:r>
        <w:rPr>
          <w:spacing w:val="-5"/>
        </w:rPr>
        <w:t> </w:t>
      </w:r>
      <w:r>
        <w:rPr/>
        <w:t>dhe</w:t>
      </w:r>
      <w:r>
        <w:rPr>
          <w:spacing w:val="-5"/>
        </w:rPr>
        <w:t> </w:t>
      </w:r>
      <w:r>
        <w:rPr/>
        <w:t>planifikimin</w:t>
      </w:r>
      <w:r>
        <w:rPr>
          <w:spacing w:val="-5"/>
        </w:rPr>
        <w:t> </w:t>
      </w:r>
      <w:r>
        <w:rPr/>
        <w:t>e</w:t>
      </w:r>
      <w:r>
        <w:rPr>
          <w:spacing w:val="-5"/>
        </w:rPr>
        <w:t> </w:t>
      </w:r>
      <w:r>
        <w:rPr/>
        <w:t>përgjegjshëm</w:t>
      </w:r>
      <w:r>
        <w:rPr>
          <w:spacing w:val="-5"/>
        </w:rPr>
        <w:t> </w:t>
      </w:r>
      <w:r>
        <w:rPr/>
        <w:t>të </w:t>
      </w:r>
      <w:r>
        <w:rPr>
          <w:spacing w:val="-2"/>
        </w:rPr>
        <w:t>investimeve.</w:t>
      </w:r>
    </w:p>
    <w:p>
      <w:pPr>
        <w:pStyle w:val="Heading1"/>
        <w:numPr>
          <w:ilvl w:val="0"/>
          <w:numId w:val="2"/>
        </w:numPr>
        <w:tabs>
          <w:tab w:pos="401" w:val="left" w:leader="none"/>
        </w:tabs>
        <w:spacing w:line="240" w:lineRule="auto" w:before="234" w:after="0"/>
        <w:ind w:left="401" w:right="0" w:hanging="260"/>
        <w:jc w:val="both"/>
      </w:pPr>
      <w:r>
        <w:rPr>
          <w:color w:val="4F81BD"/>
          <w:spacing w:val="-2"/>
        </w:rPr>
        <w:t>Misioni</w:t>
      </w:r>
    </w:p>
    <w:p>
      <w:pPr>
        <w:pStyle w:val="BodyText"/>
        <w:spacing w:line="232" w:lineRule="auto" w:before="46"/>
        <w:ind w:right="139"/>
        <w:jc w:val="both"/>
      </w:pPr>
      <w:r>
        <w:rPr/>
        <w:t>Të investojmë, zhvillojmë dhe dorëzojmë projekte me cilësi të lartë që përmirësojnë komunitetet, krijojnë vlerë afatgjatë dhe vendosin standarde të reja në sektorin e pasurive të paluajtshme dhe investimeve në </w:t>
      </w:r>
      <w:r>
        <w:rPr>
          <w:spacing w:val="-2"/>
        </w:rPr>
        <w:t>Shqipëri.</w:t>
      </w:r>
    </w:p>
    <w:p>
      <w:pPr>
        <w:pStyle w:val="Heading1"/>
        <w:numPr>
          <w:ilvl w:val="0"/>
          <w:numId w:val="2"/>
        </w:numPr>
        <w:tabs>
          <w:tab w:pos="399" w:val="left" w:leader="none"/>
        </w:tabs>
        <w:spacing w:line="240" w:lineRule="auto" w:before="235" w:after="0"/>
        <w:ind w:left="399" w:right="0" w:hanging="258"/>
        <w:jc w:val="both"/>
      </w:pPr>
      <w:r>
        <w:rPr>
          <w:color w:val="4F81BD"/>
          <w:spacing w:val="-2"/>
        </w:rPr>
        <w:t>Vizioni</w:t>
      </w:r>
    </w:p>
    <w:p>
      <w:pPr>
        <w:pStyle w:val="BodyText"/>
        <w:spacing w:line="232" w:lineRule="auto" w:before="45"/>
        <w:ind w:right="139"/>
        <w:jc w:val="both"/>
      </w:pPr>
      <w:r>
        <w:rPr/>
        <w:t>Të bëhemi një nga kompanitë lider në Shqipëri në fushën e investimeve dhe zhvillimit të projekteve, duke zgjeruar praninë tonë në nivel kombëtar, duke përqafuar inovacionin dhe duke ndërtuar projekte që i rezistojnë kohës.</w:t>
      </w:r>
    </w:p>
    <w:p>
      <w:pPr>
        <w:pStyle w:val="Heading1"/>
        <w:numPr>
          <w:ilvl w:val="0"/>
          <w:numId w:val="2"/>
        </w:numPr>
        <w:tabs>
          <w:tab w:pos="399" w:val="left" w:leader="none"/>
        </w:tabs>
        <w:spacing w:line="240" w:lineRule="auto" w:before="236" w:after="0"/>
        <w:ind w:left="399" w:right="0" w:hanging="258"/>
        <w:jc w:val="both"/>
      </w:pPr>
      <w:r>
        <w:rPr>
          <w:color w:val="4F81BD"/>
          <w:spacing w:val="-2"/>
        </w:rPr>
        <w:t>Slogani</w:t>
      </w:r>
    </w:p>
    <w:p>
      <w:pPr>
        <w:spacing w:before="38"/>
        <w:ind w:left="141" w:right="0" w:firstLine="0"/>
        <w:jc w:val="both"/>
        <w:rPr>
          <w:b/>
          <w:sz w:val="22"/>
        </w:rPr>
      </w:pPr>
      <w:r>
        <w:rPr>
          <w:b/>
          <w:sz w:val="22"/>
        </w:rPr>
        <w:t>“Duke</w:t>
      </w:r>
      <w:r>
        <w:rPr>
          <w:b/>
          <w:spacing w:val="-7"/>
          <w:sz w:val="22"/>
        </w:rPr>
        <w:t> </w:t>
      </w:r>
      <w:r>
        <w:rPr>
          <w:b/>
          <w:sz w:val="22"/>
        </w:rPr>
        <w:t>ndërtuar</w:t>
      </w:r>
      <w:r>
        <w:rPr>
          <w:b/>
          <w:spacing w:val="-7"/>
          <w:sz w:val="22"/>
        </w:rPr>
        <w:t> </w:t>
      </w:r>
      <w:r>
        <w:rPr>
          <w:b/>
          <w:sz w:val="22"/>
        </w:rPr>
        <w:t>Shqipërinë</w:t>
      </w:r>
      <w:r>
        <w:rPr>
          <w:b/>
          <w:spacing w:val="-7"/>
          <w:sz w:val="22"/>
        </w:rPr>
        <w:t> </w:t>
      </w:r>
      <w:r>
        <w:rPr>
          <w:b/>
          <w:spacing w:val="-2"/>
          <w:sz w:val="22"/>
        </w:rPr>
        <w:t>elitare.”</w:t>
      </w:r>
    </w:p>
    <w:p>
      <w:pPr>
        <w:pStyle w:val="Heading1"/>
        <w:numPr>
          <w:ilvl w:val="0"/>
          <w:numId w:val="2"/>
        </w:numPr>
        <w:tabs>
          <w:tab w:pos="399" w:val="left" w:leader="none"/>
        </w:tabs>
        <w:spacing w:line="240" w:lineRule="auto" w:before="235" w:after="0"/>
        <w:ind w:left="399" w:right="0" w:hanging="258"/>
        <w:jc w:val="left"/>
      </w:pPr>
      <w:r>
        <w:rPr>
          <w:color w:val="4F81BD"/>
        </w:rPr>
        <w:t>Vlerat</w:t>
      </w:r>
      <w:r>
        <w:rPr>
          <w:color w:val="4F81BD"/>
          <w:spacing w:val="-11"/>
        </w:rPr>
        <w:t> </w:t>
      </w:r>
      <w:r>
        <w:rPr>
          <w:color w:val="4F81BD"/>
          <w:spacing w:val="-2"/>
        </w:rPr>
        <w:t>Themelore</w:t>
      </w:r>
    </w:p>
    <w:p>
      <w:pPr>
        <w:tabs>
          <w:tab w:pos="2301" w:val="left" w:leader="none"/>
        </w:tabs>
        <w:spacing w:line="264" w:lineRule="exact" w:before="39"/>
        <w:ind w:left="141" w:right="0" w:firstLine="0"/>
        <w:jc w:val="left"/>
        <w:rPr>
          <w:sz w:val="22"/>
        </w:rPr>
      </w:pPr>
      <w:r>
        <w:rPr>
          <w:b/>
          <w:spacing w:val="-2"/>
          <w:sz w:val="22"/>
        </w:rPr>
        <w:t>Integriteti</w:t>
      </w:r>
      <w:r>
        <w:rPr>
          <w:b/>
          <w:spacing w:val="8"/>
          <w:sz w:val="22"/>
        </w:rPr>
        <w:t> </w:t>
      </w:r>
      <w:r>
        <w:rPr>
          <w:spacing w:val="-10"/>
          <w:sz w:val="22"/>
        </w:rPr>
        <w:t>–</w:t>
      </w:r>
      <w:r>
        <w:rPr>
          <w:sz w:val="22"/>
        </w:rPr>
        <w:tab/>
        <w:t>Operim</w:t>
      </w:r>
      <w:r>
        <w:rPr>
          <w:spacing w:val="-3"/>
          <w:sz w:val="22"/>
        </w:rPr>
        <w:t> </w:t>
      </w:r>
      <w:r>
        <w:rPr>
          <w:sz w:val="22"/>
        </w:rPr>
        <w:t>transparent,</w:t>
      </w:r>
      <w:r>
        <w:rPr>
          <w:spacing w:val="-3"/>
          <w:sz w:val="22"/>
        </w:rPr>
        <w:t> </w:t>
      </w:r>
      <w:r>
        <w:rPr>
          <w:sz w:val="22"/>
        </w:rPr>
        <w:t>i</w:t>
      </w:r>
      <w:r>
        <w:rPr>
          <w:spacing w:val="-3"/>
          <w:sz w:val="22"/>
        </w:rPr>
        <w:t> </w:t>
      </w:r>
      <w:r>
        <w:rPr>
          <w:sz w:val="22"/>
        </w:rPr>
        <w:t>përgjegjshëm</w:t>
      </w:r>
      <w:r>
        <w:rPr>
          <w:spacing w:val="-3"/>
          <w:sz w:val="22"/>
        </w:rPr>
        <w:t> </w:t>
      </w:r>
      <w:r>
        <w:rPr>
          <w:sz w:val="22"/>
        </w:rPr>
        <w:t>dhe</w:t>
      </w:r>
      <w:r>
        <w:rPr>
          <w:spacing w:val="-3"/>
          <w:sz w:val="22"/>
        </w:rPr>
        <w:t> </w:t>
      </w:r>
      <w:r>
        <w:rPr>
          <w:spacing w:val="-4"/>
          <w:sz w:val="22"/>
        </w:rPr>
        <w:t>etik</w:t>
      </w:r>
    </w:p>
    <w:p>
      <w:pPr>
        <w:pStyle w:val="BodyText"/>
        <w:tabs>
          <w:tab w:pos="2301" w:val="left" w:leader="none"/>
        </w:tabs>
        <w:spacing w:line="260" w:lineRule="exact"/>
      </w:pPr>
      <w:r>
        <w:rPr>
          <w:b/>
        </w:rPr>
        <w:t>Cilësia</w:t>
      </w:r>
      <w:r>
        <w:rPr>
          <w:b/>
          <w:spacing w:val="-4"/>
        </w:rPr>
        <w:t> </w:t>
      </w:r>
      <w:r>
        <w:rPr>
          <w:spacing w:val="-10"/>
        </w:rPr>
        <w:t>–</w:t>
      </w:r>
      <w:r>
        <w:rPr/>
        <w:tab/>
        <w:t>Standarde</w:t>
      </w:r>
      <w:r>
        <w:rPr>
          <w:spacing w:val="-6"/>
        </w:rPr>
        <w:t> </w:t>
      </w:r>
      <w:r>
        <w:rPr/>
        <w:t>të</w:t>
      </w:r>
      <w:r>
        <w:rPr>
          <w:spacing w:val="-3"/>
        </w:rPr>
        <w:t> </w:t>
      </w:r>
      <w:r>
        <w:rPr/>
        <w:t>larta</w:t>
      </w:r>
      <w:r>
        <w:rPr>
          <w:spacing w:val="-3"/>
        </w:rPr>
        <w:t> </w:t>
      </w:r>
      <w:r>
        <w:rPr/>
        <w:t>në</w:t>
      </w:r>
      <w:r>
        <w:rPr>
          <w:spacing w:val="-3"/>
        </w:rPr>
        <w:t> </w:t>
      </w:r>
      <w:r>
        <w:rPr/>
        <w:t>çdo</w:t>
      </w:r>
      <w:r>
        <w:rPr>
          <w:spacing w:val="-3"/>
        </w:rPr>
        <w:t> </w:t>
      </w:r>
      <w:r>
        <w:rPr/>
        <w:t>projekt</w:t>
      </w:r>
      <w:r>
        <w:rPr>
          <w:spacing w:val="-3"/>
        </w:rPr>
        <w:t> </w:t>
      </w:r>
      <w:r>
        <w:rPr/>
        <w:t>të</w:t>
      </w:r>
      <w:r>
        <w:rPr>
          <w:spacing w:val="-3"/>
        </w:rPr>
        <w:t> </w:t>
      </w:r>
      <w:r>
        <w:rPr>
          <w:spacing w:val="-2"/>
        </w:rPr>
        <w:t>realizuar</w:t>
      </w:r>
    </w:p>
    <w:p>
      <w:pPr>
        <w:pStyle w:val="BodyText"/>
        <w:tabs>
          <w:tab w:pos="2301" w:val="left" w:leader="none"/>
        </w:tabs>
        <w:spacing w:line="260" w:lineRule="exact"/>
      </w:pPr>
      <w:r>
        <w:rPr>
          <w:b/>
        </w:rPr>
        <w:t>Inovacioni</w:t>
      </w:r>
      <w:r>
        <w:rPr>
          <w:b/>
          <w:spacing w:val="-6"/>
        </w:rPr>
        <w:t> </w:t>
      </w:r>
      <w:r>
        <w:rPr>
          <w:spacing w:val="-10"/>
        </w:rPr>
        <w:t>–</w:t>
      </w:r>
      <w:r>
        <w:rPr/>
        <w:tab/>
        <w:t>Zgjidhje</w:t>
      </w:r>
      <w:r>
        <w:rPr>
          <w:spacing w:val="-2"/>
        </w:rPr>
        <w:t> </w:t>
      </w:r>
      <w:r>
        <w:rPr/>
        <w:t>moderne</w:t>
      </w:r>
      <w:r>
        <w:rPr>
          <w:spacing w:val="-2"/>
        </w:rPr>
        <w:t> </w:t>
      </w:r>
      <w:r>
        <w:rPr/>
        <w:t>në</w:t>
      </w:r>
      <w:r>
        <w:rPr>
          <w:spacing w:val="-1"/>
        </w:rPr>
        <w:t> </w:t>
      </w:r>
      <w:r>
        <w:rPr/>
        <w:t>fushën</w:t>
      </w:r>
      <w:r>
        <w:rPr>
          <w:spacing w:val="-2"/>
        </w:rPr>
        <w:t> </w:t>
      </w:r>
      <w:r>
        <w:rPr/>
        <w:t>e</w:t>
      </w:r>
      <w:r>
        <w:rPr>
          <w:spacing w:val="-2"/>
        </w:rPr>
        <w:t> </w:t>
      </w:r>
      <w:r>
        <w:rPr/>
        <w:t>ndërtimit</w:t>
      </w:r>
      <w:r>
        <w:rPr>
          <w:spacing w:val="-1"/>
        </w:rPr>
        <w:t> </w:t>
      </w:r>
      <w:r>
        <w:rPr/>
        <w:t>dhe</w:t>
      </w:r>
      <w:r>
        <w:rPr>
          <w:spacing w:val="-2"/>
        </w:rPr>
        <w:t> investimeve</w:t>
      </w:r>
    </w:p>
    <w:p>
      <w:pPr>
        <w:tabs>
          <w:tab w:pos="2301" w:val="left" w:leader="none"/>
        </w:tabs>
        <w:spacing w:line="260" w:lineRule="exact" w:before="0"/>
        <w:ind w:left="141" w:right="0" w:firstLine="0"/>
        <w:jc w:val="left"/>
        <w:rPr>
          <w:sz w:val="22"/>
        </w:rPr>
      </w:pPr>
      <w:r>
        <w:rPr>
          <w:b/>
          <w:sz w:val="22"/>
        </w:rPr>
        <w:t>Qëndrueshmëria</w:t>
      </w:r>
      <w:r>
        <w:rPr>
          <w:b/>
          <w:spacing w:val="-1"/>
          <w:sz w:val="22"/>
        </w:rPr>
        <w:t> </w:t>
      </w:r>
      <w:r>
        <w:rPr>
          <w:spacing w:val="-10"/>
          <w:sz w:val="22"/>
        </w:rPr>
        <w:t>–</w:t>
      </w:r>
      <w:r>
        <w:rPr>
          <w:sz w:val="22"/>
        </w:rPr>
        <w:tab/>
        <w:t>Zhvillim</w:t>
      </w:r>
      <w:r>
        <w:rPr>
          <w:spacing w:val="-6"/>
          <w:sz w:val="22"/>
        </w:rPr>
        <w:t> </w:t>
      </w:r>
      <w:r>
        <w:rPr>
          <w:sz w:val="22"/>
        </w:rPr>
        <w:t>me</w:t>
      </w:r>
      <w:r>
        <w:rPr>
          <w:spacing w:val="-3"/>
          <w:sz w:val="22"/>
        </w:rPr>
        <w:t> </w:t>
      </w:r>
      <w:r>
        <w:rPr>
          <w:sz w:val="22"/>
        </w:rPr>
        <w:t>ndikim</w:t>
      </w:r>
      <w:r>
        <w:rPr>
          <w:spacing w:val="-3"/>
          <w:sz w:val="22"/>
        </w:rPr>
        <w:t> </w:t>
      </w:r>
      <w:r>
        <w:rPr>
          <w:sz w:val="22"/>
        </w:rPr>
        <w:t>të</w:t>
      </w:r>
      <w:r>
        <w:rPr>
          <w:spacing w:val="-3"/>
          <w:sz w:val="22"/>
        </w:rPr>
        <w:t> </w:t>
      </w:r>
      <w:r>
        <w:rPr>
          <w:sz w:val="22"/>
        </w:rPr>
        <w:t>kujdesshëm</w:t>
      </w:r>
      <w:r>
        <w:rPr>
          <w:spacing w:val="-4"/>
          <w:sz w:val="22"/>
        </w:rPr>
        <w:t> </w:t>
      </w:r>
      <w:r>
        <w:rPr>
          <w:sz w:val="22"/>
        </w:rPr>
        <w:t>në</w:t>
      </w:r>
      <w:r>
        <w:rPr>
          <w:spacing w:val="-2"/>
          <w:sz w:val="22"/>
        </w:rPr>
        <w:t> mjedis</w:t>
      </w:r>
    </w:p>
    <w:p>
      <w:pPr>
        <w:pStyle w:val="BodyText"/>
        <w:tabs>
          <w:tab w:pos="2301" w:val="left" w:leader="none"/>
        </w:tabs>
        <w:spacing w:line="264" w:lineRule="exact"/>
      </w:pPr>
      <w:r>
        <w:rPr>
          <w:b/>
        </w:rPr>
        <w:t>Rritja</w:t>
      </w:r>
      <w:r>
        <w:rPr>
          <w:b/>
          <w:spacing w:val="-1"/>
        </w:rPr>
        <w:t> </w:t>
      </w:r>
      <w:r>
        <w:rPr>
          <w:spacing w:val="-10"/>
        </w:rPr>
        <w:t>–</w:t>
      </w:r>
      <w:r>
        <w:rPr/>
        <w:tab/>
        <w:t>Vlerë</w:t>
      </w:r>
      <w:r>
        <w:rPr>
          <w:spacing w:val="-10"/>
        </w:rPr>
        <w:t> </w:t>
      </w:r>
      <w:r>
        <w:rPr/>
        <w:t>afatgjatë</w:t>
      </w:r>
      <w:r>
        <w:rPr>
          <w:spacing w:val="-7"/>
        </w:rPr>
        <w:t> </w:t>
      </w:r>
      <w:r>
        <w:rPr/>
        <w:t>për</w:t>
      </w:r>
      <w:r>
        <w:rPr>
          <w:spacing w:val="-8"/>
        </w:rPr>
        <w:t> </w:t>
      </w:r>
      <w:r>
        <w:rPr/>
        <w:t>komunitetet</w:t>
      </w:r>
      <w:r>
        <w:rPr>
          <w:spacing w:val="-7"/>
        </w:rPr>
        <w:t> </w:t>
      </w:r>
      <w:r>
        <w:rPr/>
        <w:t>dhe</w:t>
      </w:r>
      <w:r>
        <w:rPr>
          <w:spacing w:val="-7"/>
        </w:rPr>
        <w:t> </w:t>
      </w:r>
      <w:r>
        <w:rPr>
          <w:spacing w:val="-2"/>
        </w:rPr>
        <w:t>partnerët</w:t>
      </w:r>
    </w:p>
    <w:p>
      <w:pPr>
        <w:pStyle w:val="Heading1"/>
        <w:numPr>
          <w:ilvl w:val="0"/>
          <w:numId w:val="2"/>
        </w:numPr>
        <w:tabs>
          <w:tab w:pos="399" w:val="left" w:leader="none"/>
        </w:tabs>
        <w:spacing w:line="240" w:lineRule="auto" w:before="194" w:after="0"/>
        <w:ind w:left="399" w:right="0" w:hanging="258"/>
        <w:jc w:val="left"/>
      </w:pPr>
      <w:r>
        <w:rPr>
          <w:color w:val="4F81BD"/>
          <w:spacing w:val="-2"/>
        </w:rPr>
        <w:t>Shërbimet</w:t>
      </w:r>
    </w:p>
    <w:p>
      <w:pPr>
        <w:pStyle w:val="Heading2"/>
        <w:spacing w:line="264" w:lineRule="exact" w:before="39"/>
      </w:pPr>
      <w:r>
        <w:rPr>
          <w:u w:val="single"/>
        </w:rPr>
        <w:t>Investime</w:t>
      </w:r>
      <w:r>
        <w:rPr>
          <w:spacing w:val="-7"/>
          <w:u w:val="single"/>
        </w:rPr>
        <w:t> </w:t>
      </w:r>
      <w:r>
        <w:rPr>
          <w:u w:val="single"/>
        </w:rPr>
        <w:t>&amp;</w:t>
      </w:r>
      <w:r>
        <w:rPr>
          <w:spacing w:val="-6"/>
          <w:u w:val="single"/>
        </w:rPr>
        <w:t> </w:t>
      </w:r>
      <w:r>
        <w:rPr>
          <w:spacing w:val="-2"/>
          <w:u w:val="single"/>
        </w:rPr>
        <w:t>Zhvillim</w:t>
      </w:r>
    </w:p>
    <w:p>
      <w:pPr>
        <w:pStyle w:val="BodyText"/>
        <w:spacing w:line="232" w:lineRule="auto" w:before="2"/>
        <w:ind w:right="5871"/>
      </w:pPr>
      <w:r>
        <w:rPr/>
        <w:t>Investime në pasuri të paluajtshme Zhvillime</w:t>
      </w:r>
      <w:r>
        <w:rPr>
          <w:spacing w:val="-13"/>
        </w:rPr>
        <w:t> </w:t>
      </w:r>
      <w:r>
        <w:rPr/>
        <w:t>banimi,</w:t>
      </w:r>
      <w:r>
        <w:rPr>
          <w:spacing w:val="-12"/>
        </w:rPr>
        <w:t> </w:t>
      </w:r>
      <w:r>
        <w:rPr/>
        <w:t>komerciale</w:t>
      </w:r>
      <w:r>
        <w:rPr>
          <w:spacing w:val="-13"/>
        </w:rPr>
        <w:t> </w:t>
      </w:r>
      <w:r>
        <w:rPr/>
        <w:t>dhe</w:t>
      </w:r>
      <w:r>
        <w:rPr>
          <w:spacing w:val="-12"/>
        </w:rPr>
        <w:t> </w:t>
      </w:r>
      <w:r>
        <w:rPr/>
        <w:t>turistike Blerje toke dhe studime fizibiliteti</w:t>
      </w:r>
    </w:p>
    <w:p>
      <w:pPr>
        <w:pStyle w:val="BodyText"/>
        <w:spacing w:line="256" w:lineRule="exact"/>
      </w:pPr>
      <w:r>
        <w:rPr/>
        <w:t>Partneritete</w:t>
      </w:r>
      <w:r>
        <w:rPr>
          <w:spacing w:val="-7"/>
        </w:rPr>
        <w:t> </w:t>
      </w:r>
      <w:r>
        <w:rPr/>
        <w:t>dhe</w:t>
      </w:r>
      <w:r>
        <w:rPr>
          <w:spacing w:val="-7"/>
        </w:rPr>
        <w:t> </w:t>
      </w:r>
      <w:r>
        <w:rPr/>
        <w:t>projekte</w:t>
      </w:r>
      <w:r>
        <w:rPr>
          <w:spacing w:val="-6"/>
        </w:rPr>
        <w:t> </w:t>
      </w:r>
      <w:r>
        <w:rPr/>
        <w:t>të</w:t>
      </w:r>
      <w:r>
        <w:rPr>
          <w:spacing w:val="-7"/>
        </w:rPr>
        <w:t> </w:t>
      </w:r>
      <w:r>
        <w:rPr/>
        <w:t>përbashkëta</w:t>
      </w:r>
      <w:r>
        <w:rPr>
          <w:spacing w:val="-7"/>
        </w:rPr>
        <w:t> </w:t>
      </w:r>
      <w:r>
        <w:rPr/>
        <w:t>me</w:t>
      </w:r>
      <w:r>
        <w:rPr>
          <w:spacing w:val="-6"/>
        </w:rPr>
        <w:t> </w:t>
      </w:r>
      <w:r>
        <w:rPr>
          <w:spacing w:val="-2"/>
        </w:rPr>
        <w:t>investitorë</w:t>
      </w:r>
    </w:p>
    <w:p>
      <w:pPr>
        <w:pStyle w:val="Heading2"/>
        <w:spacing w:line="260" w:lineRule="exact"/>
      </w:pPr>
      <w:r>
        <w:rPr>
          <w:u w:val="single"/>
        </w:rPr>
        <w:t>Shërbime</w:t>
      </w:r>
      <w:r>
        <w:rPr>
          <w:spacing w:val="-7"/>
          <w:u w:val="single"/>
        </w:rPr>
        <w:t> </w:t>
      </w:r>
      <w:r>
        <w:rPr>
          <w:spacing w:val="-2"/>
          <w:u w:val="single"/>
        </w:rPr>
        <w:t>Ndërtimi</w:t>
      </w:r>
    </w:p>
    <w:p>
      <w:pPr>
        <w:pStyle w:val="BodyText"/>
        <w:spacing w:line="232" w:lineRule="auto" w:before="2"/>
        <w:ind w:right="6406"/>
      </w:pPr>
      <w:r>
        <w:rPr/>
        <w:t>Ndërtim banesash dhe vilash Ndërtesa</w:t>
      </w:r>
      <w:r>
        <w:rPr>
          <w:spacing w:val="-13"/>
        </w:rPr>
        <w:t> </w:t>
      </w:r>
      <w:r>
        <w:rPr/>
        <w:t>komerciale</w:t>
      </w:r>
      <w:r>
        <w:rPr>
          <w:spacing w:val="-12"/>
        </w:rPr>
        <w:t> </w:t>
      </w:r>
      <w:r>
        <w:rPr/>
        <w:t>dhe</w:t>
      </w:r>
      <w:r>
        <w:rPr>
          <w:spacing w:val="-13"/>
        </w:rPr>
        <w:t> </w:t>
      </w:r>
      <w:r>
        <w:rPr/>
        <w:t>miks-</w:t>
      </w:r>
      <w:r>
        <w:rPr/>
        <w:t>use</w:t>
      </w:r>
    </w:p>
    <w:p>
      <w:pPr>
        <w:pStyle w:val="BodyText"/>
        <w:spacing w:line="232" w:lineRule="auto"/>
        <w:ind w:right="5871"/>
      </w:pPr>
      <w:r>
        <w:rPr/>
        <w:t>Rikonstruksione</w:t>
      </w:r>
      <w:r>
        <w:rPr>
          <w:spacing w:val="-13"/>
        </w:rPr>
        <w:t> </w:t>
      </w:r>
      <w:r>
        <w:rPr/>
        <w:t>dhe</w:t>
      </w:r>
      <w:r>
        <w:rPr>
          <w:spacing w:val="-12"/>
        </w:rPr>
        <w:t> </w:t>
      </w:r>
      <w:r>
        <w:rPr/>
        <w:t>përforcime</w:t>
      </w:r>
      <w:r>
        <w:rPr>
          <w:spacing w:val="-13"/>
        </w:rPr>
        <w:t> </w:t>
      </w:r>
      <w:r>
        <w:rPr/>
        <w:t>strukturore Zbatim i plotë i punimeve</w:t>
      </w:r>
    </w:p>
    <w:p>
      <w:pPr>
        <w:pStyle w:val="Heading2"/>
        <w:spacing w:line="257" w:lineRule="exact"/>
      </w:pPr>
      <w:r>
        <w:rPr>
          <w:u w:val="single"/>
        </w:rPr>
        <w:t>Menaxhim</w:t>
      </w:r>
      <w:r>
        <w:rPr>
          <w:spacing w:val="-4"/>
          <w:u w:val="single"/>
        </w:rPr>
        <w:t> </w:t>
      </w:r>
      <w:r>
        <w:rPr>
          <w:spacing w:val="-2"/>
          <w:u w:val="single"/>
        </w:rPr>
        <w:t>Projektesh</w:t>
      </w:r>
    </w:p>
    <w:p>
      <w:pPr>
        <w:pStyle w:val="BodyText"/>
        <w:spacing w:line="232" w:lineRule="auto" w:before="1"/>
        <w:ind w:right="5871"/>
      </w:pPr>
      <w:r>
        <w:rPr/>
        <w:t>Buxhetim,</w:t>
      </w:r>
      <w:r>
        <w:rPr>
          <w:spacing w:val="-13"/>
        </w:rPr>
        <w:t> </w:t>
      </w:r>
      <w:r>
        <w:rPr/>
        <w:t>kontroll</w:t>
      </w:r>
      <w:r>
        <w:rPr>
          <w:spacing w:val="-12"/>
        </w:rPr>
        <w:t> </w:t>
      </w:r>
      <w:r>
        <w:rPr/>
        <w:t>kostoje</w:t>
      </w:r>
      <w:r>
        <w:rPr>
          <w:spacing w:val="-13"/>
        </w:rPr>
        <w:t> </w:t>
      </w:r>
      <w:r>
        <w:rPr/>
        <w:t>dhe</w:t>
      </w:r>
      <w:r>
        <w:rPr>
          <w:spacing w:val="-12"/>
        </w:rPr>
        <w:t> </w:t>
      </w:r>
      <w:r>
        <w:rPr/>
        <w:t>planifikim Menaxhim afatesh dhe koordinim</w:t>
      </w:r>
    </w:p>
    <w:p>
      <w:pPr>
        <w:pStyle w:val="BodyText"/>
        <w:spacing w:after="0" w:line="232" w:lineRule="auto"/>
        <w:sectPr>
          <w:pgSz w:w="11910" w:h="16840"/>
          <w:pgMar w:top="1020" w:bottom="280" w:left="992" w:right="992"/>
        </w:sectPr>
      </w:pPr>
    </w:p>
    <w:p>
      <w:pPr>
        <w:pStyle w:val="BodyText"/>
        <w:spacing w:line="264" w:lineRule="exact" w:before="43"/>
      </w:pPr>
      <w:r>
        <w:rPr/>
        <w:t>Mbikëqyrje</w:t>
      </w:r>
      <w:r>
        <w:rPr>
          <w:spacing w:val="-3"/>
        </w:rPr>
        <w:t> </w:t>
      </w:r>
      <w:r>
        <w:rPr/>
        <w:t>punimesh</w:t>
      </w:r>
      <w:r>
        <w:rPr>
          <w:spacing w:val="-3"/>
        </w:rPr>
        <w:t> </w:t>
      </w:r>
      <w:r>
        <w:rPr/>
        <w:t>dhe</w:t>
      </w:r>
      <w:r>
        <w:rPr>
          <w:spacing w:val="-3"/>
        </w:rPr>
        <w:t> </w:t>
      </w:r>
      <w:r>
        <w:rPr>
          <w:spacing w:val="-2"/>
        </w:rPr>
        <w:t>furnitorësh</w:t>
      </w:r>
    </w:p>
    <w:p>
      <w:pPr>
        <w:pStyle w:val="Heading2"/>
        <w:spacing w:line="260" w:lineRule="exact"/>
      </w:pPr>
      <w:r>
        <w:rPr>
          <w:spacing w:val="-2"/>
          <w:u w:val="single"/>
        </w:rPr>
        <w:t>Konsulencë</w:t>
      </w:r>
    </w:p>
    <w:p>
      <w:pPr>
        <w:pStyle w:val="BodyText"/>
        <w:spacing w:line="232" w:lineRule="auto" w:before="2"/>
        <w:ind w:right="5871"/>
      </w:pPr>
      <w:r>
        <w:rPr/>
        <w:t>Analizë</w:t>
      </w:r>
      <w:r>
        <w:rPr>
          <w:spacing w:val="-13"/>
        </w:rPr>
        <w:t> </w:t>
      </w:r>
      <w:r>
        <w:rPr/>
        <w:t>tregu</w:t>
      </w:r>
      <w:r>
        <w:rPr>
          <w:spacing w:val="-12"/>
        </w:rPr>
        <w:t> </w:t>
      </w:r>
      <w:r>
        <w:rPr/>
        <w:t>dhe</w:t>
      </w:r>
      <w:r>
        <w:rPr>
          <w:spacing w:val="-13"/>
        </w:rPr>
        <w:t> </w:t>
      </w:r>
      <w:r>
        <w:rPr/>
        <w:t>mundësi</w:t>
      </w:r>
      <w:r>
        <w:rPr>
          <w:spacing w:val="-12"/>
        </w:rPr>
        <w:t> </w:t>
      </w:r>
      <w:r>
        <w:rPr/>
        <w:t>investimi Studime fizibiliteti</w:t>
      </w:r>
    </w:p>
    <w:p>
      <w:pPr>
        <w:pStyle w:val="BodyText"/>
        <w:spacing w:line="232" w:lineRule="auto"/>
        <w:ind w:right="4837"/>
      </w:pPr>
      <w:r>
        <w:rPr/>
        <w:t>Ndihmë</w:t>
      </w:r>
      <w:r>
        <w:rPr>
          <w:spacing w:val="-6"/>
        </w:rPr>
        <w:t> </w:t>
      </w:r>
      <w:r>
        <w:rPr/>
        <w:t>në</w:t>
      </w:r>
      <w:r>
        <w:rPr>
          <w:spacing w:val="-6"/>
        </w:rPr>
        <w:t> </w:t>
      </w:r>
      <w:r>
        <w:rPr/>
        <w:t>planifikim</w:t>
      </w:r>
      <w:r>
        <w:rPr>
          <w:spacing w:val="-6"/>
        </w:rPr>
        <w:t> </w:t>
      </w:r>
      <w:r>
        <w:rPr/>
        <w:t>urban</w:t>
      </w:r>
      <w:r>
        <w:rPr>
          <w:spacing w:val="-6"/>
        </w:rPr>
        <w:t> </w:t>
      </w:r>
      <w:r>
        <w:rPr/>
        <w:t>dhe</w:t>
      </w:r>
      <w:r>
        <w:rPr>
          <w:spacing w:val="-6"/>
        </w:rPr>
        <w:t> </w:t>
      </w:r>
      <w:r>
        <w:rPr/>
        <w:t>leje</w:t>
      </w:r>
      <w:r>
        <w:rPr>
          <w:spacing w:val="-6"/>
        </w:rPr>
        <w:t> </w:t>
      </w:r>
      <w:r>
        <w:rPr/>
        <w:t>ndërtimi Koordinim arkitekturë &amp; inxhinieri</w:t>
      </w:r>
    </w:p>
    <w:p>
      <w:pPr>
        <w:pStyle w:val="BodyText"/>
        <w:spacing w:before="186"/>
        <w:ind w:left="0"/>
      </w:pPr>
    </w:p>
    <w:p>
      <w:pPr>
        <w:pStyle w:val="Heading1"/>
        <w:numPr>
          <w:ilvl w:val="0"/>
          <w:numId w:val="2"/>
        </w:numPr>
        <w:tabs>
          <w:tab w:pos="399" w:val="left" w:leader="none"/>
        </w:tabs>
        <w:spacing w:line="240" w:lineRule="auto" w:before="0" w:after="0"/>
        <w:ind w:left="399" w:right="0" w:hanging="258"/>
        <w:jc w:val="left"/>
      </w:pPr>
      <w:r>
        <w:rPr>
          <w:color w:val="4F81BD"/>
        </w:rPr>
        <w:t>Identiteti</w:t>
      </w:r>
      <w:r>
        <w:rPr>
          <w:color w:val="4F81BD"/>
          <w:spacing w:val="-9"/>
        </w:rPr>
        <w:t> </w:t>
      </w:r>
      <w:r>
        <w:rPr>
          <w:color w:val="4F81BD"/>
        </w:rPr>
        <w:t>i</w:t>
      </w:r>
      <w:r>
        <w:rPr>
          <w:color w:val="4F81BD"/>
          <w:spacing w:val="-9"/>
        </w:rPr>
        <w:t> </w:t>
      </w:r>
      <w:r>
        <w:rPr>
          <w:color w:val="4F81BD"/>
          <w:spacing w:val="-2"/>
        </w:rPr>
        <w:t>Brandit</w:t>
      </w:r>
    </w:p>
    <w:p>
      <w:pPr>
        <w:pStyle w:val="BodyText"/>
        <w:spacing w:line="264" w:lineRule="exact" w:before="39"/>
      </w:pPr>
      <w:r>
        <w:rPr/>
        <w:t>Stil</w:t>
      </w:r>
      <w:r>
        <w:rPr>
          <w:spacing w:val="-2"/>
        </w:rPr>
        <w:t> </w:t>
      </w:r>
      <w:r>
        <w:rPr/>
        <w:t>modern,</w:t>
      </w:r>
      <w:r>
        <w:rPr>
          <w:spacing w:val="-1"/>
        </w:rPr>
        <w:t> </w:t>
      </w:r>
      <w:r>
        <w:rPr/>
        <w:t>gjeometrik</w:t>
      </w:r>
      <w:r>
        <w:rPr>
          <w:spacing w:val="-1"/>
        </w:rPr>
        <w:t> </w:t>
      </w:r>
      <w:r>
        <w:rPr/>
        <w:t>dhe</w:t>
      </w:r>
      <w:r>
        <w:rPr>
          <w:spacing w:val="-1"/>
        </w:rPr>
        <w:t> </w:t>
      </w:r>
      <w:r>
        <w:rPr>
          <w:spacing w:val="-2"/>
        </w:rPr>
        <w:t>profesional.</w:t>
      </w:r>
    </w:p>
    <w:p>
      <w:pPr>
        <w:spacing w:line="264" w:lineRule="exact" w:before="0"/>
        <w:ind w:left="141" w:right="0" w:firstLine="0"/>
        <w:jc w:val="left"/>
        <w:rPr>
          <w:sz w:val="22"/>
        </w:rPr>
      </w:pPr>
      <w:r>
        <w:rPr>
          <w:sz w:val="22"/>
        </w:rPr>
        <w:t>Ngjyrat</w:t>
      </w:r>
      <w:r>
        <w:rPr>
          <w:spacing w:val="-6"/>
          <w:sz w:val="22"/>
        </w:rPr>
        <w:t> </w:t>
      </w:r>
      <w:r>
        <w:rPr>
          <w:sz w:val="22"/>
        </w:rPr>
        <w:t>kryesore</w:t>
      </w:r>
      <w:r>
        <w:rPr>
          <w:spacing w:val="-4"/>
          <w:sz w:val="22"/>
        </w:rPr>
        <w:t> </w:t>
      </w:r>
      <w:r>
        <w:rPr>
          <w:sz w:val="22"/>
        </w:rPr>
        <w:t>të</w:t>
      </w:r>
      <w:r>
        <w:rPr>
          <w:spacing w:val="-4"/>
          <w:sz w:val="22"/>
        </w:rPr>
        <w:t> </w:t>
      </w:r>
      <w:r>
        <w:rPr>
          <w:sz w:val="22"/>
        </w:rPr>
        <w:t>brandit:</w:t>
      </w:r>
      <w:r>
        <w:rPr>
          <w:spacing w:val="-5"/>
          <w:sz w:val="22"/>
        </w:rPr>
        <w:t> </w:t>
      </w:r>
      <w:r>
        <w:rPr>
          <w:b/>
          <w:sz w:val="22"/>
        </w:rPr>
        <w:t>Blu</w:t>
      </w:r>
      <w:r>
        <w:rPr>
          <w:b/>
          <w:spacing w:val="-4"/>
          <w:sz w:val="22"/>
        </w:rPr>
        <w:t> </w:t>
      </w:r>
      <w:r>
        <w:rPr>
          <w:b/>
          <w:sz w:val="22"/>
        </w:rPr>
        <w:t>Navy</w:t>
      </w:r>
      <w:r>
        <w:rPr>
          <w:sz w:val="22"/>
        </w:rPr>
        <w:t>,</w:t>
      </w:r>
      <w:r>
        <w:rPr>
          <w:spacing w:val="-4"/>
          <w:sz w:val="22"/>
        </w:rPr>
        <w:t> </w:t>
      </w:r>
      <w:r>
        <w:rPr>
          <w:b/>
          <w:sz w:val="22"/>
        </w:rPr>
        <w:t>Gri</w:t>
      </w:r>
      <w:r>
        <w:rPr>
          <w:b/>
          <w:spacing w:val="-5"/>
          <w:sz w:val="22"/>
        </w:rPr>
        <w:t> </w:t>
      </w:r>
      <w:r>
        <w:rPr>
          <w:b/>
          <w:sz w:val="22"/>
        </w:rPr>
        <w:t>Çeliku</w:t>
      </w:r>
      <w:r>
        <w:rPr>
          <w:sz w:val="22"/>
        </w:rPr>
        <w:t>,</w:t>
      </w:r>
      <w:r>
        <w:rPr>
          <w:spacing w:val="-4"/>
          <w:sz w:val="22"/>
        </w:rPr>
        <w:t> </w:t>
      </w:r>
      <w:r>
        <w:rPr>
          <w:b/>
          <w:sz w:val="22"/>
        </w:rPr>
        <w:t>Ari</w:t>
      </w:r>
      <w:r>
        <w:rPr>
          <w:b/>
          <w:spacing w:val="-3"/>
          <w:sz w:val="22"/>
        </w:rPr>
        <w:t> </w:t>
      </w:r>
      <w:r>
        <w:rPr>
          <w:b/>
          <w:spacing w:val="-2"/>
          <w:sz w:val="22"/>
        </w:rPr>
        <w:t>Accent</w:t>
      </w:r>
      <w:r>
        <w:rPr>
          <w:spacing w:val="-2"/>
          <w:sz w:val="22"/>
        </w:rPr>
        <w:t>.</w:t>
      </w:r>
    </w:p>
    <w:p>
      <w:pPr>
        <w:pStyle w:val="Heading1"/>
        <w:numPr>
          <w:ilvl w:val="0"/>
          <w:numId w:val="2"/>
        </w:numPr>
        <w:tabs>
          <w:tab w:pos="401" w:val="left" w:leader="none"/>
        </w:tabs>
        <w:spacing w:line="240" w:lineRule="auto" w:before="234" w:after="0"/>
        <w:ind w:left="401" w:right="0" w:hanging="260"/>
        <w:jc w:val="left"/>
      </w:pPr>
      <w:r>
        <w:rPr>
          <w:color w:val="4F81BD"/>
        </w:rPr>
        <w:t>Përshkrimi</w:t>
      </w:r>
      <w:r>
        <w:rPr>
          <w:color w:val="4F81BD"/>
          <w:spacing w:val="-8"/>
        </w:rPr>
        <w:t> </w:t>
      </w:r>
      <w:r>
        <w:rPr>
          <w:color w:val="4F81BD"/>
        </w:rPr>
        <w:t>i</w:t>
      </w:r>
      <w:r>
        <w:rPr>
          <w:color w:val="4F81BD"/>
          <w:spacing w:val="-8"/>
        </w:rPr>
        <w:t> </w:t>
      </w:r>
      <w:r>
        <w:rPr>
          <w:color w:val="4F81BD"/>
        </w:rPr>
        <w:t>Aktivitetit</w:t>
      </w:r>
      <w:r>
        <w:rPr>
          <w:color w:val="4F81BD"/>
          <w:spacing w:val="-7"/>
        </w:rPr>
        <w:t> </w:t>
      </w:r>
      <w:r>
        <w:rPr>
          <w:color w:val="4F81BD"/>
        </w:rPr>
        <w:t>(Për</w:t>
      </w:r>
      <w:r>
        <w:rPr>
          <w:color w:val="4F81BD"/>
          <w:spacing w:val="-8"/>
        </w:rPr>
        <w:t> </w:t>
      </w:r>
      <w:r>
        <w:rPr>
          <w:color w:val="4F81BD"/>
          <w:spacing w:val="-4"/>
        </w:rPr>
        <w:t>QKB)</w:t>
      </w:r>
    </w:p>
    <w:p>
      <w:pPr>
        <w:pStyle w:val="BodyText"/>
        <w:spacing w:line="232" w:lineRule="auto" w:before="46"/>
      </w:pPr>
      <w:r>
        <w:rPr/>
        <w:t>SouthBuild</w:t>
      </w:r>
      <w:r>
        <w:rPr>
          <w:spacing w:val="-1"/>
        </w:rPr>
        <w:t> </w:t>
      </w:r>
      <w:r>
        <w:rPr/>
        <w:t>Invest</w:t>
      </w:r>
      <w:r>
        <w:rPr>
          <w:spacing w:val="-1"/>
        </w:rPr>
        <w:t> </w:t>
      </w:r>
      <w:r>
        <w:rPr/>
        <w:t>ushtron</w:t>
      </w:r>
      <w:r>
        <w:rPr>
          <w:spacing w:val="-1"/>
        </w:rPr>
        <w:t> </w:t>
      </w:r>
      <w:r>
        <w:rPr/>
        <w:t>veprimtari</w:t>
      </w:r>
      <w:r>
        <w:rPr>
          <w:spacing w:val="-1"/>
        </w:rPr>
        <w:t> </w:t>
      </w:r>
      <w:r>
        <w:rPr/>
        <w:t>në</w:t>
      </w:r>
      <w:r>
        <w:rPr>
          <w:spacing w:val="-1"/>
        </w:rPr>
        <w:t> </w:t>
      </w:r>
      <w:r>
        <w:rPr/>
        <w:t>fushën</w:t>
      </w:r>
      <w:r>
        <w:rPr>
          <w:spacing w:val="-1"/>
        </w:rPr>
        <w:t> </w:t>
      </w:r>
      <w:r>
        <w:rPr/>
        <w:t>e</w:t>
      </w:r>
      <w:r>
        <w:rPr>
          <w:spacing w:val="-1"/>
        </w:rPr>
        <w:t> </w:t>
      </w:r>
      <w:r>
        <w:rPr/>
        <w:t>investimeve</w:t>
      </w:r>
      <w:r>
        <w:rPr>
          <w:spacing w:val="-1"/>
        </w:rPr>
        <w:t> </w:t>
      </w:r>
      <w:r>
        <w:rPr/>
        <w:t>dhe</w:t>
      </w:r>
      <w:r>
        <w:rPr>
          <w:spacing w:val="-1"/>
        </w:rPr>
        <w:t> </w:t>
      </w:r>
      <w:r>
        <w:rPr/>
        <w:t>zhvillimit</w:t>
      </w:r>
      <w:r>
        <w:rPr>
          <w:spacing w:val="-1"/>
        </w:rPr>
        <w:t> </w:t>
      </w:r>
      <w:r>
        <w:rPr/>
        <w:t>të</w:t>
      </w:r>
      <w:r>
        <w:rPr>
          <w:spacing w:val="-1"/>
        </w:rPr>
        <w:t> </w:t>
      </w:r>
      <w:r>
        <w:rPr/>
        <w:t>projekteve</w:t>
      </w:r>
      <w:r>
        <w:rPr>
          <w:spacing w:val="-1"/>
        </w:rPr>
        <w:t> </w:t>
      </w:r>
      <w:r>
        <w:rPr/>
        <w:t>në</w:t>
      </w:r>
      <w:r>
        <w:rPr>
          <w:spacing w:val="-1"/>
        </w:rPr>
        <w:t> </w:t>
      </w:r>
      <w:r>
        <w:rPr/>
        <w:t>Shqipëri,</w:t>
      </w:r>
      <w:r>
        <w:rPr>
          <w:spacing w:val="-2"/>
        </w:rPr>
        <w:t> </w:t>
      </w:r>
      <w:r>
        <w:rPr/>
        <w:t>duke përfshirë por pa u kufizuar në:</w:t>
      </w:r>
    </w:p>
    <w:p>
      <w:pPr>
        <w:pStyle w:val="BodyText"/>
        <w:spacing w:line="257" w:lineRule="exact"/>
      </w:pPr>
      <w:r>
        <w:rPr/>
        <w:t>Investime</w:t>
      </w:r>
      <w:r>
        <w:rPr>
          <w:spacing w:val="-6"/>
        </w:rPr>
        <w:t> </w:t>
      </w:r>
      <w:r>
        <w:rPr/>
        <w:t>në</w:t>
      </w:r>
      <w:r>
        <w:rPr>
          <w:spacing w:val="-5"/>
        </w:rPr>
        <w:t> </w:t>
      </w:r>
      <w:r>
        <w:rPr/>
        <w:t>pasuri</w:t>
      </w:r>
      <w:r>
        <w:rPr>
          <w:spacing w:val="-5"/>
        </w:rPr>
        <w:t> </w:t>
      </w:r>
      <w:r>
        <w:rPr/>
        <w:t>të</w:t>
      </w:r>
      <w:r>
        <w:rPr>
          <w:spacing w:val="-5"/>
        </w:rPr>
        <w:t> </w:t>
      </w:r>
      <w:r>
        <w:rPr/>
        <w:t>paluajtshme,</w:t>
      </w:r>
      <w:r>
        <w:rPr>
          <w:spacing w:val="-5"/>
        </w:rPr>
        <w:t> </w:t>
      </w:r>
      <w:r>
        <w:rPr/>
        <w:t>tokë</w:t>
      </w:r>
      <w:r>
        <w:rPr>
          <w:spacing w:val="-5"/>
        </w:rPr>
        <w:t> </w:t>
      </w:r>
      <w:r>
        <w:rPr/>
        <w:t>dhe</w:t>
      </w:r>
      <w:r>
        <w:rPr>
          <w:spacing w:val="-5"/>
        </w:rPr>
        <w:t> </w:t>
      </w:r>
      <w:r>
        <w:rPr/>
        <w:t>projekte</w:t>
      </w:r>
      <w:r>
        <w:rPr>
          <w:spacing w:val="-5"/>
        </w:rPr>
        <w:t> </w:t>
      </w:r>
      <w:r>
        <w:rPr>
          <w:spacing w:val="-2"/>
        </w:rPr>
        <w:t>zhvillimore</w:t>
      </w:r>
    </w:p>
    <w:p>
      <w:pPr>
        <w:pStyle w:val="BodyText"/>
        <w:spacing w:line="232" w:lineRule="auto" w:before="2"/>
        <w:ind w:right="2349"/>
      </w:pPr>
      <w:r>
        <w:rPr/>
        <w:t>Zhvillim</w:t>
      </w:r>
      <w:r>
        <w:rPr>
          <w:spacing w:val="-10"/>
        </w:rPr>
        <w:t> </w:t>
      </w:r>
      <w:r>
        <w:rPr/>
        <w:t>projektesh</w:t>
      </w:r>
      <w:r>
        <w:rPr>
          <w:spacing w:val="-10"/>
        </w:rPr>
        <w:t> </w:t>
      </w:r>
      <w:r>
        <w:rPr/>
        <w:t>banimi,</w:t>
      </w:r>
      <w:r>
        <w:rPr>
          <w:spacing w:val="-10"/>
        </w:rPr>
        <w:t> </w:t>
      </w:r>
      <w:r>
        <w:rPr/>
        <w:t>komerciale,</w:t>
      </w:r>
      <w:r>
        <w:rPr>
          <w:spacing w:val="-10"/>
        </w:rPr>
        <w:t> </w:t>
      </w:r>
      <w:r>
        <w:rPr/>
        <w:t>turistike</w:t>
      </w:r>
      <w:r>
        <w:rPr>
          <w:spacing w:val="-10"/>
        </w:rPr>
        <w:t> </w:t>
      </w:r>
      <w:r>
        <w:rPr/>
        <w:t>dhe</w:t>
      </w:r>
      <w:r>
        <w:rPr>
          <w:spacing w:val="-10"/>
        </w:rPr>
        <w:t> </w:t>
      </w:r>
      <w:r>
        <w:rPr/>
        <w:t>përzierje</w:t>
      </w:r>
      <w:r>
        <w:rPr>
          <w:spacing w:val="-10"/>
        </w:rPr>
        <w:t> </w:t>
      </w:r>
      <w:r>
        <w:rPr/>
        <w:t>funksionesh Investime në turizëm: resorte, struktura akomodimi, objekte shërbimi</w:t>
      </w:r>
    </w:p>
    <w:p>
      <w:pPr>
        <w:pStyle w:val="BodyText"/>
        <w:spacing w:line="232" w:lineRule="auto"/>
        <w:ind w:right="1778"/>
      </w:pPr>
      <w:r>
        <w:rPr/>
        <w:t>Investime</w:t>
      </w:r>
      <w:r>
        <w:rPr>
          <w:spacing w:val="-9"/>
        </w:rPr>
        <w:t> </w:t>
      </w:r>
      <w:r>
        <w:rPr/>
        <w:t>në</w:t>
      </w:r>
      <w:r>
        <w:rPr>
          <w:spacing w:val="-9"/>
        </w:rPr>
        <w:t> </w:t>
      </w:r>
      <w:r>
        <w:rPr/>
        <w:t>infrastrukturë,</w:t>
      </w:r>
      <w:r>
        <w:rPr>
          <w:spacing w:val="-9"/>
        </w:rPr>
        <w:t> </w:t>
      </w:r>
      <w:r>
        <w:rPr/>
        <w:t>energji</w:t>
      </w:r>
      <w:r>
        <w:rPr>
          <w:spacing w:val="-9"/>
        </w:rPr>
        <w:t> </w:t>
      </w:r>
      <w:r>
        <w:rPr/>
        <w:t>të</w:t>
      </w:r>
      <w:r>
        <w:rPr>
          <w:spacing w:val="-9"/>
        </w:rPr>
        <w:t> </w:t>
      </w:r>
      <w:r>
        <w:rPr/>
        <w:t>rinovueshme</w:t>
      </w:r>
      <w:r>
        <w:rPr>
          <w:spacing w:val="-9"/>
        </w:rPr>
        <w:t> </w:t>
      </w:r>
      <w:r>
        <w:rPr/>
        <w:t>dhe</w:t>
      </w:r>
      <w:r>
        <w:rPr>
          <w:spacing w:val="-9"/>
        </w:rPr>
        <w:t> </w:t>
      </w:r>
      <w:r>
        <w:rPr/>
        <w:t>projekte</w:t>
      </w:r>
      <w:r>
        <w:rPr>
          <w:spacing w:val="-9"/>
        </w:rPr>
        <w:t> </w:t>
      </w:r>
      <w:r>
        <w:rPr/>
        <w:t>të</w:t>
      </w:r>
      <w:r>
        <w:rPr>
          <w:spacing w:val="-9"/>
        </w:rPr>
        <w:t> </w:t>
      </w:r>
      <w:r>
        <w:rPr/>
        <w:t>tjera</w:t>
      </w:r>
      <w:r>
        <w:rPr>
          <w:spacing w:val="-9"/>
        </w:rPr>
        <w:t> </w:t>
      </w:r>
      <w:r>
        <w:rPr/>
        <w:t>zhvillimore Blerje, shitje, qira, administrim dhe menaxhim pronash</w:t>
      </w:r>
    </w:p>
    <w:p>
      <w:pPr>
        <w:pStyle w:val="BodyText"/>
        <w:spacing w:line="232" w:lineRule="auto"/>
        <w:ind w:right="3344"/>
      </w:pPr>
      <w:r>
        <w:rPr/>
        <w:t>Konsulencë</w:t>
      </w:r>
      <w:r>
        <w:rPr>
          <w:spacing w:val="-9"/>
        </w:rPr>
        <w:t> </w:t>
      </w:r>
      <w:r>
        <w:rPr/>
        <w:t>për</w:t>
      </w:r>
      <w:r>
        <w:rPr>
          <w:spacing w:val="-9"/>
        </w:rPr>
        <w:t> </w:t>
      </w:r>
      <w:r>
        <w:rPr/>
        <w:t>investime,</w:t>
      </w:r>
      <w:r>
        <w:rPr>
          <w:spacing w:val="-9"/>
        </w:rPr>
        <w:t> </w:t>
      </w:r>
      <w:r>
        <w:rPr/>
        <w:t>studime</w:t>
      </w:r>
      <w:r>
        <w:rPr>
          <w:spacing w:val="-9"/>
        </w:rPr>
        <w:t> </w:t>
      </w:r>
      <w:r>
        <w:rPr/>
        <w:t>tregu</w:t>
      </w:r>
      <w:r>
        <w:rPr>
          <w:spacing w:val="-9"/>
        </w:rPr>
        <w:t> </w:t>
      </w:r>
      <w:r>
        <w:rPr/>
        <w:t>dhe</w:t>
      </w:r>
      <w:r>
        <w:rPr>
          <w:spacing w:val="-9"/>
        </w:rPr>
        <w:t> </w:t>
      </w:r>
      <w:r>
        <w:rPr/>
        <w:t>zhvillim</w:t>
      </w:r>
      <w:r>
        <w:rPr>
          <w:spacing w:val="-9"/>
        </w:rPr>
        <w:t> </w:t>
      </w:r>
      <w:r>
        <w:rPr/>
        <w:t>projektesh Studime fizibiliteti, planifikim urban, shërbime projektimi</w:t>
      </w:r>
    </w:p>
    <w:p>
      <w:pPr>
        <w:pStyle w:val="BodyText"/>
        <w:spacing w:line="232" w:lineRule="auto"/>
        <w:ind w:right="2349"/>
      </w:pPr>
      <w:r>
        <w:rPr/>
        <w:t>Bashkëpunim me investitorë vendas dhe të huaj, partneritete dhe joint ventures Pjesëmarrje</w:t>
      </w:r>
      <w:r>
        <w:rPr>
          <w:spacing w:val="-7"/>
        </w:rPr>
        <w:t> </w:t>
      </w:r>
      <w:r>
        <w:rPr/>
        <w:t>në</w:t>
      </w:r>
      <w:r>
        <w:rPr>
          <w:spacing w:val="-7"/>
        </w:rPr>
        <w:t> </w:t>
      </w:r>
      <w:r>
        <w:rPr/>
        <w:t>tendera</w:t>
      </w:r>
      <w:r>
        <w:rPr>
          <w:spacing w:val="-7"/>
        </w:rPr>
        <w:t> </w:t>
      </w:r>
      <w:r>
        <w:rPr/>
        <w:t>publikë</w:t>
      </w:r>
      <w:r>
        <w:rPr>
          <w:spacing w:val="-7"/>
        </w:rPr>
        <w:t> </w:t>
      </w:r>
      <w:r>
        <w:rPr/>
        <w:t>dhe</w:t>
      </w:r>
      <w:r>
        <w:rPr>
          <w:spacing w:val="-7"/>
        </w:rPr>
        <w:t> </w:t>
      </w:r>
      <w:r>
        <w:rPr/>
        <w:t>privatë</w:t>
      </w:r>
      <w:r>
        <w:rPr>
          <w:spacing w:val="-7"/>
        </w:rPr>
        <w:t> </w:t>
      </w:r>
      <w:r>
        <w:rPr/>
        <w:t>në</w:t>
      </w:r>
      <w:r>
        <w:rPr>
          <w:spacing w:val="-7"/>
        </w:rPr>
        <w:t> </w:t>
      </w:r>
      <w:r>
        <w:rPr/>
        <w:t>sektorin</w:t>
      </w:r>
      <w:r>
        <w:rPr>
          <w:spacing w:val="-7"/>
        </w:rPr>
        <w:t> </w:t>
      </w:r>
      <w:r>
        <w:rPr/>
        <w:t>e</w:t>
      </w:r>
      <w:r>
        <w:rPr>
          <w:spacing w:val="-7"/>
        </w:rPr>
        <w:t> </w:t>
      </w:r>
      <w:r>
        <w:rPr/>
        <w:t>investimeve</w:t>
      </w:r>
      <w:r>
        <w:rPr>
          <w:spacing w:val="-7"/>
        </w:rPr>
        <w:t> </w:t>
      </w:r>
      <w:r>
        <w:rPr/>
        <w:t>dhe</w:t>
      </w:r>
      <w:r>
        <w:rPr>
          <w:spacing w:val="-7"/>
        </w:rPr>
        <w:t> </w:t>
      </w:r>
      <w:r>
        <w:rPr/>
        <w:t>zhvillimit</w:t>
      </w:r>
    </w:p>
    <w:sectPr>
      <w:pgSz w:w="11910" w:h="16840"/>
      <w:pgMar w:top="10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01" w:hanging="260"/>
        <w:jc w:val="left"/>
      </w:pPr>
      <w:rPr>
        <w:rFonts w:hint="default" w:ascii="Calibri" w:hAnsi="Calibri" w:eastAsia="Calibri" w:cs="Calibri"/>
        <w:b/>
        <w:bCs/>
        <w:i w:val="0"/>
        <w:iCs w:val="0"/>
        <w:color w:val="4F81BD"/>
        <w:spacing w:val="0"/>
        <w:w w:val="100"/>
        <w:sz w:val="26"/>
        <w:szCs w:val="26"/>
        <w:lang w:val="en-US" w:eastAsia="en-US" w:bidi="ar-SA"/>
      </w:rPr>
    </w:lvl>
    <w:lvl w:ilvl="1">
      <w:start w:val="0"/>
      <w:numFmt w:val="bullet"/>
      <w:lvlText w:val="•"/>
      <w:lvlJc w:val="left"/>
      <w:pPr>
        <w:ind w:left="1352" w:hanging="260"/>
      </w:pPr>
      <w:rPr>
        <w:rFonts w:hint="default"/>
        <w:lang w:val="en-US" w:eastAsia="en-US" w:bidi="ar-SA"/>
      </w:rPr>
    </w:lvl>
    <w:lvl w:ilvl="2">
      <w:start w:val="0"/>
      <w:numFmt w:val="bullet"/>
      <w:lvlText w:val="•"/>
      <w:lvlJc w:val="left"/>
      <w:pPr>
        <w:ind w:left="2304" w:hanging="260"/>
      </w:pPr>
      <w:rPr>
        <w:rFonts w:hint="default"/>
        <w:lang w:val="en-US" w:eastAsia="en-US" w:bidi="ar-SA"/>
      </w:rPr>
    </w:lvl>
    <w:lvl w:ilvl="3">
      <w:start w:val="0"/>
      <w:numFmt w:val="bullet"/>
      <w:lvlText w:val="•"/>
      <w:lvlJc w:val="left"/>
      <w:pPr>
        <w:ind w:left="3256" w:hanging="260"/>
      </w:pPr>
      <w:rPr>
        <w:rFonts w:hint="default"/>
        <w:lang w:val="en-US" w:eastAsia="en-US" w:bidi="ar-SA"/>
      </w:rPr>
    </w:lvl>
    <w:lvl w:ilvl="4">
      <w:start w:val="0"/>
      <w:numFmt w:val="bullet"/>
      <w:lvlText w:val="•"/>
      <w:lvlJc w:val="left"/>
      <w:pPr>
        <w:ind w:left="4208" w:hanging="260"/>
      </w:pPr>
      <w:rPr>
        <w:rFonts w:hint="default"/>
        <w:lang w:val="en-US" w:eastAsia="en-US" w:bidi="ar-SA"/>
      </w:rPr>
    </w:lvl>
    <w:lvl w:ilvl="5">
      <w:start w:val="0"/>
      <w:numFmt w:val="bullet"/>
      <w:lvlText w:val="•"/>
      <w:lvlJc w:val="left"/>
      <w:pPr>
        <w:ind w:left="5160" w:hanging="260"/>
      </w:pPr>
      <w:rPr>
        <w:rFonts w:hint="default"/>
        <w:lang w:val="en-US" w:eastAsia="en-US" w:bidi="ar-SA"/>
      </w:rPr>
    </w:lvl>
    <w:lvl w:ilvl="6">
      <w:start w:val="0"/>
      <w:numFmt w:val="bullet"/>
      <w:lvlText w:val="•"/>
      <w:lvlJc w:val="left"/>
      <w:pPr>
        <w:ind w:left="6112" w:hanging="260"/>
      </w:pPr>
      <w:rPr>
        <w:rFonts w:hint="default"/>
        <w:lang w:val="en-US" w:eastAsia="en-US" w:bidi="ar-SA"/>
      </w:rPr>
    </w:lvl>
    <w:lvl w:ilvl="7">
      <w:start w:val="0"/>
      <w:numFmt w:val="bullet"/>
      <w:lvlText w:val="•"/>
      <w:lvlJc w:val="left"/>
      <w:pPr>
        <w:ind w:left="7065" w:hanging="260"/>
      </w:pPr>
      <w:rPr>
        <w:rFonts w:hint="default"/>
        <w:lang w:val="en-US" w:eastAsia="en-US" w:bidi="ar-SA"/>
      </w:rPr>
    </w:lvl>
    <w:lvl w:ilvl="8">
      <w:start w:val="0"/>
      <w:numFmt w:val="bullet"/>
      <w:lvlText w:val="•"/>
      <w:lvlJc w:val="left"/>
      <w:pPr>
        <w:ind w:left="8017" w:hanging="260"/>
      </w:pPr>
      <w:rPr>
        <w:rFonts w:hint="default"/>
        <w:lang w:val="en-US" w:eastAsia="en-US" w:bidi="ar-SA"/>
      </w:rPr>
    </w:lvl>
  </w:abstractNum>
  <w:abstractNum w:abstractNumId="0">
    <w:multiLevelType w:val="hybridMultilevel"/>
    <w:lvl w:ilvl="0">
      <w:start w:val="1"/>
      <w:numFmt w:val="decimal"/>
      <w:lvlText w:val="%1."/>
      <w:lvlJc w:val="left"/>
      <w:pPr>
        <w:ind w:left="401" w:hanging="260"/>
        <w:jc w:val="left"/>
      </w:pPr>
      <w:rPr>
        <w:rFonts w:hint="default" w:ascii="Calibri" w:hAnsi="Calibri" w:eastAsia="Calibri" w:cs="Calibri"/>
        <w:b/>
        <w:bCs/>
        <w:i w:val="0"/>
        <w:iCs w:val="0"/>
        <w:color w:val="4F81BD"/>
        <w:spacing w:val="-1"/>
        <w:w w:val="100"/>
        <w:sz w:val="26"/>
        <w:szCs w:val="26"/>
        <w:lang w:val="en-US" w:eastAsia="en-US" w:bidi="ar-SA"/>
      </w:rPr>
    </w:lvl>
    <w:lvl w:ilvl="1">
      <w:start w:val="0"/>
      <w:numFmt w:val="bullet"/>
      <w:lvlText w:val="•"/>
      <w:lvlJc w:val="left"/>
      <w:pPr>
        <w:ind w:left="287" w:hanging="146"/>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457" w:hanging="146"/>
      </w:pPr>
      <w:rPr>
        <w:rFonts w:hint="default"/>
        <w:lang w:val="en-US" w:eastAsia="en-US" w:bidi="ar-SA"/>
      </w:rPr>
    </w:lvl>
    <w:lvl w:ilvl="3">
      <w:start w:val="0"/>
      <w:numFmt w:val="bullet"/>
      <w:lvlText w:val="•"/>
      <w:lvlJc w:val="left"/>
      <w:pPr>
        <w:ind w:left="2515" w:hanging="146"/>
      </w:pPr>
      <w:rPr>
        <w:rFonts w:hint="default"/>
        <w:lang w:val="en-US" w:eastAsia="en-US" w:bidi="ar-SA"/>
      </w:rPr>
    </w:lvl>
    <w:lvl w:ilvl="4">
      <w:start w:val="0"/>
      <w:numFmt w:val="bullet"/>
      <w:lvlText w:val="•"/>
      <w:lvlJc w:val="left"/>
      <w:pPr>
        <w:ind w:left="3573" w:hanging="146"/>
      </w:pPr>
      <w:rPr>
        <w:rFonts w:hint="default"/>
        <w:lang w:val="en-US" w:eastAsia="en-US" w:bidi="ar-SA"/>
      </w:rPr>
    </w:lvl>
    <w:lvl w:ilvl="5">
      <w:start w:val="0"/>
      <w:numFmt w:val="bullet"/>
      <w:lvlText w:val="•"/>
      <w:lvlJc w:val="left"/>
      <w:pPr>
        <w:ind w:left="4631" w:hanging="146"/>
      </w:pPr>
      <w:rPr>
        <w:rFonts w:hint="default"/>
        <w:lang w:val="en-US" w:eastAsia="en-US" w:bidi="ar-SA"/>
      </w:rPr>
    </w:lvl>
    <w:lvl w:ilvl="6">
      <w:start w:val="0"/>
      <w:numFmt w:val="bullet"/>
      <w:lvlText w:val="•"/>
      <w:lvlJc w:val="left"/>
      <w:pPr>
        <w:ind w:left="5689" w:hanging="146"/>
      </w:pPr>
      <w:rPr>
        <w:rFonts w:hint="default"/>
        <w:lang w:val="en-US" w:eastAsia="en-US" w:bidi="ar-SA"/>
      </w:rPr>
    </w:lvl>
    <w:lvl w:ilvl="7">
      <w:start w:val="0"/>
      <w:numFmt w:val="bullet"/>
      <w:lvlText w:val="•"/>
      <w:lvlJc w:val="left"/>
      <w:pPr>
        <w:ind w:left="6747" w:hanging="146"/>
      </w:pPr>
      <w:rPr>
        <w:rFonts w:hint="default"/>
        <w:lang w:val="en-US" w:eastAsia="en-US" w:bidi="ar-SA"/>
      </w:rPr>
    </w:lvl>
    <w:lvl w:ilvl="8">
      <w:start w:val="0"/>
      <w:numFmt w:val="bullet"/>
      <w:lvlText w:val="•"/>
      <w:lvlJc w:val="left"/>
      <w:pPr>
        <w:ind w:left="7805" w:hanging="14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41"/>
    </w:pPr>
    <w:rPr>
      <w:rFonts w:ascii="Calibri" w:hAnsi="Calibri" w:eastAsia="Calibri" w:cs="Calibri"/>
      <w:sz w:val="22"/>
      <w:szCs w:val="22"/>
      <w:lang w:val="en-US" w:eastAsia="en-US" w:bidi="ar-SA"/>
    </w:rPr>
  </w:style>
  <w:style w:styleId="Heading1" w:type="paragraph">
    <w:name w:val="Heading 1"/>
    <w:basedOn w:val="Normal"/>
    <w:uiPriority w:val="1"/>
    <w:qFormat/>
    <w:pPr>
      <w:spacing w:before="168"/>
      <w:ind w:left="399" w:hanging="258"/>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ind w:left="141"/>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17"/>
      <w:ind w:left="141"/>
      <w:jc w:val="both"/>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spacing w:before="18"/>
      <w:ind w:left="399" w:hanging="25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SouthBuild_Invest</dc:title>
  <dcterms:created xsi:type="dcterms:W3CDTF">2025-12-16T14:41:02Z</dcterms:created>
  <dcterms:modified xsi:type="dcterms:W3CDTF">2025-12-16T14:41:02Z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Pages</vt:lpwstr>
  </property>
  <property fmtid="{D5CDD505-2E9C-101B-9397-08002B2CF9AE}" pid="4" name="LastSaved">
    <vt:filetime>2025-12-16T00:00:00Z</vt:filetime>
  </property>
  <property fmtid="{D5CDD505-2E9C-101B-9397-08002B2CF9AE}" pid="5" name="Producer">
    <vt:lpwstr>macOS Version 26.1 (Build 25B78) Quartz PDFContext</vt:lpwstr>
  </property>
</Properties>
</file>