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DCE" w:rsidRDefault="00F70DCE" w:rsidP="00F70DCE">
      <w:pPr>
        <w:numPr>
          <w:ilvl w:val="0"/>
          <w:numId w:val="1"/>
        </w:numPr>
        <w:jc w:val="both"/>
      </w:pPr>
      <w:r>
        <w:t xml:space="preserve">Охарактеризовать модель данных, описанных п. п. 1 –2. </w:t>
      </w:r>
    </w:p>
    <w:p w:rsidR="00F70DCE" w:rsidRPr="0070300A" w:rsidRDefault="00F70DCE" w:rsidP="00F70DCE"/>
    <w:p w:rsidR="00CB5C22" w:rsidRDefault="00F70DCE" w:rsidP="00F70DCE">
      <w:pPr>
        <w:pStyle w:val="a3"/>
        <w:numPr>
          <w:ilvl w:val="0"/>
          <w:numId w:val="2"/>
        </w:numPr>
      </w:pPr>
      <w:r>
        <w:t xml:space="preserve">Дана случайная выборка разделённая на две группы (сердечно-сосудистые заболевания присутствуют, отсутствуют) с атрибутами: </w:t>
      </w:r>
    </w:p>
    <w:p w:rsidR="00F70DCE" w:rsidRDefault="00F70DCE" w:rsidP="00F70DCE">
      <w:pPr>
        <w:pStyle w:val="a3"/>
        <w:numPr>
          <w:ilvl w:val="1"/>
          <w:numId w:val="2"/>
        </w:numPr>
      </w:pPr>
      <w:r>
        <w:t xml:space="preserve">биохимических показателей крови;  </w:t>
      </w:r>
    </w:p>
    <w:p w:rsidR="00F70DCE" w:rsidRDefault="00F70DCE" w:rsidP="00F70DCE">
      <w:pPr>
        <w:pStyle w:val="a3"/>
        <w:numPr>
          <w:ilvl w:val="1"/>
          <w:numId w:val="2"/>
        </w:numPr>
      </w:pPr>
      <w:r>
        <w:t xml:space="preserve">артериального давления; </w:t>
      </w:r>
    </w:p>
    <w:p w:rsidR="00F70DCE" w:rsidRDefault="00F70DCE" w:rsidP="00F70DCE">
      <w:pPr>
        <w:pStyle w:val="a3"/>
        <w:numPr>
          <w:ilvl w:val="1"/>
          <w:numId w:val="2"/>
        </w:numPr>
      </w:pPr>
      <w:r>
        <w:t xml:space="preserve">антропометрических показателей (вес, рост, жизненная емкость легких и т. д.); </w:t>
      </w:r>
    </w:p>
    <w:p w:rsidR="00F70DCE" w:rsidRDefault="00F70DCE" w:rsidP="00F70DCE">
      <w:pPr>
        <w:pStyle w:val="a3"/>
        <w:numPr>
          <w:ilvl w:val="1"/>
          <w:numId w:val="2"/>
        </w:numPr>
      </w:pPr>
      <w:r>
        <w:t>факторов риска (число выкуриваемых сигарет в сутки, уровень физической активности, наличие повышенного артериального давления и т. д.);</w:t>
      </w:r>
    </w:p>
    <w:p w:rsidR="00F70DCE" w:rsidRDefault="00F70DCE" w:rsidP="00F70DCE">
      <w:pPr>
        <w:pStyle w:val="a3"/>
        <w:numPr>
          <w:ilvl w:val="0"/>
          <w:numId w:val="2"/>
        </w:numPr>
      </w:pPr>
      <w:r>
        <w:t xml:space="preserve">Дана случайная выборка разделённая на две группы (в зоне радиоактивного загрязнения в результате аварии на Чернобыльской АЭС, на незагрязненной территории) с атрибутами: </w:t>
      </w:r>
    </w:p>
    <w:p w:rsidR="00F70DCE" w:rsidRPr="00F70DCE" w:rsidRDefault="00F70DCE" w:rsidP="00F70DCE">
      <w:pPr>
        <w:pStyle w:val="a3"/>
        <w:numPr>
          <w:ilvl w:val="1"/>
          <w:numId w:val="2"/>
        </w:numPr>
      </w:pPr>
      <w:r>
        <w:t>наличие различных видов заболеваний,</w:t>
      </w:r>
    </w:p>
    <w:p w:rsidR="00F70DCE" w:rsidRPr="00F70DCE" w:rsidRDefault="00F70DCE" w:rsidP="00F70DCE">
      <w:pPr>
        <w:pStyle w:val="a3"/>
        <w:numPr>
          <w:ilvl w:val="1"/>
          <w:numId w:val="2"/>
        </w:numPr>
      </w:pPr>
      <w:r>
        <w:t>наличие факторов риска,</w:t>
      </w:r>
    </w:p>
    <w:p w:rsidR="00F70DCE" w:rsidRDefault="00F70DCE" w:rsidP="00F70DCE">
      <w:pPr>
        <w:pStyle w:val="a3"/>
        <w:numPr>
          <w:ilvl w:val="1"/>
          <w:numId w:val="2"/>
        </w:numPr>
      </w:pPr>
      <w:r>
        <w:t>биохимические показатели крови,  артериальное давление, иммунологические показатели.</w:t>
      </w:r>
    </w:p>
    <w:p w:rsidR="00F70DCE" w:rsidRPr="0070300A" w:rsidRDefault="00F70DCE" w:rsidP="00F70DCE"/>
    <w:p w:rsidR="00FB7658" w:rsidRDefault="00FB7658" w:rsidP="00FB7658">
      <w:pPr>
        <w:numPr>
          <w:ilvl w:val="0"/>
          <w:numId w:val="1"/>
        </w:numPr>
        <w:jc w:val="both"/>
      </w:pPr>
      <w:r>
        <w:t>Какие гипотезы можно выдвинуть, располагая этими данными?</w:t>
      </w:r>
    </w:p>
    <w:p w:rsidR="00FB7658" w:rsidRPr="0070300A" w:rsidRDefault="00FB7658" w:rsidP="00FB7658"/>
    <w:p w:rsidR="00FB7658" w:rsidRDefault="00FB7658" w:rsidP="00FB7658">
      <w:pPr>
        <w:ind w:firstLine="567"/>
      </w:pPr>
      <w:r>
        <w:t>Можно ли утверждать равенство дисперсий (мат ожиданий) для людей с сердечнососудистыми заболеваниями и без них.</w:t>
      </w:r>
    </w:p>
    <w:p w:rsidR="00FB7658" w:rsidRDefault="00FB7658" w:rsidP="00FB7658">
      <w:pPr>
        <w:ind w:firstLine="567"/>
      </w:pPr>
    </w:p>
    <w:p w:rsidR="00FB7658" w:rsidRDefault="00FB7658" w:rsidP="00FB7658">
      <w:pPr>
        <w:ind w:firstLine="567"/>
      </w:pPr>
      <w:r>
        <w:t>Можно ли утверждать равенство дисперсий (мат ожиданий) для людей, живущих на территории радиоактивного загрязнения и не живущих там.</w:t>
      </w:r>
    </w:p>
    <w:p w:rsidR="00FB7658" w:rsidRDefault="00FB7658" w:rsidP="00FB7658">
      <w:pPr>
        <w:ind w:firstLine="567"/>
      </w:pPr>
    </w:p>
    <w:p w:rsidR="00FB7658" w:rsidRDefault="00FB7658" w:rsidP="00FB7658">
      <w:pPr>
        <w:numPr>
          <w:ilvl w:val="0"/>
          <w:numId w:val="1"/>
        </w:numPr>
        <w:jc w:val="both"/>
      </w:pPr>
      <w:r>
        <w:t>Какие допущения необходимо сделать, чтобы проверить эти гипотезы?</w:t>
      </w:r>
    </w:p>
    <w:p w:rsidR="00A07DD1" w:rsidRDefault="00A07DD1" w:rsidP="00A07DD1"/>
    <w:p w:rsidR="00A07DD1" w:rsidRDefault="00A07DD1" w:rsidP="00A07DD1">
      <w:pPr>
        <w:tabs>
          <w:tab w:val="left" w:pos="0"/>
        </w:tabs>
        <w:ind w:firstLine="567"/>
        <w:jc w:val="both"/>
        <w:rPr>
          <w:szCs w:val="28"/>
        </w:rPr>
      </w:pPr>
      <w:r>
        <w:rPr>
          <w:szCs w:val="28"/>
        </w:rPr>
        <w:t xml:space="preserve"> Данные представлены  двумя независимыми случайными выборками </w:t>
      </w:r>
      <w:r w:rsidRPr="00BE1CC8">
        <w:rPr>
          <w:position w:val="-4"/>
          <w:szCs w:val="28"/>
        </w:rPr>
        <w:object w:dxaOrig="4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9pt;height:14.95pt" o:ole="" fillcolor="window">
            <v:imagedata r:id="rId5" o:title=""/>
          </v:shape>
          <o:OLEObject Type="Embed" ProgID="Equation.3" ShapeID="_x0000_i1025" DrawAspect="Content" ObjectID="_1268242157" r:id="rId6"/>
        </w:object>
      </w:r>
      <w:r>
        <w:rPr>
          <w:szCs w:val="28"/>
        </w:rPr>
        <w:t xml:space="preserve"> и </w:t>
      </w:r>
      <w:r w:rsidRPr="00BE1CC8">
        <w:rPr>
          <w:position w:val="-4"/>
          <w:szCs w:val="28"/>
        </w:rPr>
        <w:object w:dxaOrig="480" w:dyaOrig="300">
          <v:shape id="_x0000_i1026" type="#_x0000_t75" style="width:23.85pt;height:14.95pt" o:ole="" fillcolor="window">
            <v:imagedata r:id="rId7" o:title=""/>
          </v:shape>
          <o:OLEObject Type="Embed" ProgID="Equation.3" ShapeID="_x0000_i1026" DrawAspect="Content" ObjectID="_1268242158" r:id="rId8"/>
        </w:object>
      </w:r>
      <w:r>
        <w:rPr>
          <w:szCs w:val="28"/>
        </w:rPr>
        <w:t xml:space="preserve"> объемов </w:t>
      </w:r>
      <w:r w:rsidRPr="00BE1CC8">
        <w:rPr>
          <w:position w:val="-12"/>
          <w:szCs w:val="28"/>
        </w:rPr>
        <w:object w:dxaOrig="279" w:dyaOrig="380">
          <v:shape id="_x0000_i1027" type="#_x0000_t75" style="width:14.05pt;height:19.15pt" o:ole="" fillcolor="window">
            <v:imagedata r:id="rId9" o:title=""/>
          </v:shape>
          <o:OLEObject Type="Embed" ProgID="Equation.3" ShapeID="_x0000_i1027" DrawAspect="Content" ObjectID="_1268242159" r:id="rId10"/>
        </w:object>
      </w:r>
      <w:r>
        <w:rPr>
          <w:szCs w:val="28"/>
        </w:rPr>
        <w:t xml:space="preserve"> и </w:t>
      </w:r>
      <w:r w:rsidRPr="00BE1CC8">
        <w:rPr>
          <w:position w:val="-12"/>
          <w:szCs w:val="28"/>
        </w:rPr>
        <w:object w:dxaOrig="320" w:dyaOrig="380">
          <v:shape id="_x0000_i1028" type="#_x0000_t75" style="width:15.9pt;height:19.15pt" o:ole="" fillcolor="window">
            <v:imagedata r:id="rId11" o:title=""/>
          </v:shape>
          <o:OLEObject Type="Embed" ProgID="Equation.3" ShapeID="_x0000_i1028" DrawAspect="Content" ObjectID="_1268242160" r:id="rId12"/>
        </w:object>
      </w:r>
      <w:r>
        <w:rPr>
          <w:szCs w:val="28"/>
        </w:rPr>
        <w:t>соответственно:</w:t>
      </w:r>
    </w:p>
    <w:p w:rsidR="00A07DD1" w:rsidRPr="00A07DD1" w:rsidRDefault="00A07DD1" w:rsidP="00A07DD1">
      <w:pPr>
        <w:tabs>
          <w:tab w:val="left" w:pos="0"/>
        </w:tabs>
        <w:spacing w:before="120"/>
        <w:ind w:firstLine="567"/>
        <w:jc w:val="both"/>
        <w:rPr>
          <w:b/>
          <w:bCs/>
          <w:szCs w:val="28"/>
        </w:rPr>
      </w:pPr>
      <w:r w:rsidRPr="00BE1CC8">
        <w:rPr>
          <w:position w:val="-4"/>
          <w:szCs w:val="28"/>
        </w:rPr>
        <w:object w:dxaOrig="460" w:dyaOrig="340">
          <v:shape id="_x0000_i1029" type="#_x0000_t75" style="width:22.9pt;height:16.85pt" o:ole="" fillcolor="window">
            <v:imagedata r:id="rId13" o:title=""/>
          </v:shape>
          <o:OLEObject Type="Embed" ProgID="Equation.3" ShapeID="_x0000_i1029" DrawAspect="Content" ObjectID="_1268242161" r:id="rId14"/>
        </w:object>
      </w:r>
      <w:r>
        <w:rPr>
          <w:szCs w:val="28"/>
        </w:rPr>
        <w:t>= (</w:t>
      </w:r>
      <w:r w:rsidRPr="00A07DD1">
        <w:rPr>
          <w:position w:val="-26"/>
          <w:szCs w:val="28"/>
        </w:rPr>
        <w:object w:dxaOrig="1080" w:dyaOrig="499">
          <v:shape id="_x0000_i1030" type="#_x0000_t75" style="width:54.25pt;height:24.8pt" o:ole="" fillcolor="window">
            <v:imagedata r:id="rId15" o:title=""/>
          </v:shape>
          <o:OLEObject Type="Embed" ProgID="Equation.3" ShapeID="_x0000_i1030" DrawAspect="Content" ObjectID="_1268242162" r:id="rId16"/>
        </w:object>
      </w:r>
      <w:r>
        <w:rPr>
          <w:szCs w:val="28"/>
        </w:rPr>
        <w:t>), </w:t>
      </w:r>
      <w:r>
        <w:rPr>
          <w:i/>
          <w:iCs/>
          <w:szCs w:val="28"/>
        </w:rPr>
        <w:t>i </w:t>
      </w:r>
      <w:r>
        <w:rPr>
          <w:szCs w:val="28"/>
        </w:rPr>
        <w:t xml:space="preserve">= 1, 2. </w:t>
      </w:r>
      <w:r>
        <w:rPr>
          <w:b/>
          <w:bCs/>
          <w:szCs w:val="28"/>
        </w:rPr>
        <w:t xml:space="preserve"> </w:t>
      </w:r>
      <w:r w:rsidRPr="00A07DD1">
        <w:rPr>
          <w:bCs/>
          <w:szCs w:val="28"/>
        </w:rPr>
        <w:t>Предпол</w:t>
      </w:r>
      <w:r>
        <w:rPr>
          <w:szCs w:val="28"/>
        </w:rPr>
        <w:t>ожим, что выборки извлечены из нормальных распределений с равными дисперсиями   (</w:t>
      </w:r>
      <w:r w:rsidRPr="00A07DD1">
        <w:rPr>
          <w:position w:val="-14"/>
          <w:szCs w:val="28"/>
        </w:rPr>
        <w:object w:dxaOrig="320" w:dyaOrig="440">
          <v:shape id="_x0000_i1031" type="#_x0000_t75" style="width:15.9pt;height:21.95pt" o:ole="" fillcolor="window">
            <v:imagedata r:id="rId17" o:title=""/>
          </v:shape>
          <o:OLEObject Type="Embed" ProgID="Equation.3" ShapeID="_x0000_i1031" DrawAspect="Content" ObjectID="_1268242163" r:id="rId18"/>
        </w:object>
      </w:r>
      <w:r>
        <w:rPr>
          <w:szCs w:val="28"/>
        </w:rPr>
        <w:t xml:space="preserve">= </w:t>
      </w:r>
      <w:r w:rsidRPr="00A07DD1">
        <w:rPr>
          <w:position w:val="-10"/>
          <w:szCs w:val="28"/>
        </w:rPr>
        <w:object w:dxaOrig="279" w:dyaOrig="360">
          <v:shape id="_x0000_i1032" type="#_x0000_t75" style="width:14.05pt;height:18.25pt" o:ole="" fillcolor="window">
            <v:imagedata r:id="rId19" o:title=""/>
          </v:shape>
          <o:OLEObject Type="Embed" ProgID="Equation.3" ShapeID="_x0000_i1032" DrawAspect="Content" ObjectID="_1268242164" r:id="rId20"/>
        </w:object>
      </w:r>
      <w:r>
        <w:rPr>
          <w:szCs w:val="28"/>
        </w:rPr>
        <w:t>).</w:t>
      </w:r>
    </w:p>
    <w:p w:rsidR="00FB7658" w:rsidRPr="0070300A" w:rsidRDefault="00FB7658" w:rsidP="00A07DD1"/>
    <w:p w:rsidR="003E3689" w:rsidRPr="0069779B" w:rsidRDefault="003E3689" w:rsidP="003E3689">
      <w:pPr>
        <w:numPr>
          <w:ilvl w:val="0"/>
          <w:numId w:val="1"/>
        </w:numPr>
        <w:jc w:val="both"/>
      </w:pPr>
      <w:r>
        <w:t>Как установить правильность этих допущений?</w:t>
      </w:r>
    </w:p>
    <w:p w:rsidR="0069779B" w:rsidRDefault="0069779B" w:rsidP="0069779B">
      <w:pPr>
        <w:tabs>
          <w:tab w:val="left" w:pos="0"/>
        </w:tabs>
        <w:ind w:firstLine="567"/>
        <w:jc w:val="both"/>
        <w:rPr>
          <w:szCs w:val="28"/>
        </w:rPr>
      </w:pPr>
      <w:r>
        <w:rPr>
          <w:szCs w:val="28"/>
        </w:rPr>
        <w:t xml:space="preserve">Выдвинем гипотезы равенства (однородности) математических ожиданий </w:t>
      </w:r>
      <w:r w:rsidRPr="00BE1CC8">
        <w:rPr>
          <w:position w:val="-12"/>
          <w:szCs w:val="28"/>
        </w:rPr>
        <w:object w:dxaOrig="360" w:dyaOrig="380">
          <v:shape id="_x0000_i1033" type="#_x0000_t75" style="width:18.25pt;height:19.15pt" o:ole="" fillcolor="window">
            <v:imagedata r:id="rId21" o:title=""/>
          </v:shape>
          <o:OLEObject Type="Embed" ProgID="Equation.3" ShapeID="_x0000_i1033" DrawAspect="Content" ObjectID="_1268242165" r:id="rId22"/>
        </w:object>
      </w:r>
      <w:r>
        <w:rPr>
          <w:szCs w:val="28"/>
        </w:rPr>
        <w:t xml:space="preserve"> и дисперсий  </w:t>
      </w:r>
      <w:r w:rsidRPr="00BE1CC8">
        <w:rPr>
          <w:position w:val="-12"/>
          <w:szCs w:val="28"/>
        </w:rPr>
        <w:object w:dxaOrig="400" w:dyaOrig="380">
          <v:shape id="_x0000_i1034" type="#_x0000_t75" style="width:20.1pt;height:19.15pt" o:ole="" fillcolor="window">
            <v:imagedata r:id="rId23" o:title=""/>
          </v:shape>
          <o:OLEObject Type="Embed" ProgID="Equation.3" ShapeID="_x0000_i1034" DrawAspect="Content" ObjectID="_1268242166" r:id="rId24"/>
        </w:object>
      </w:r>
      <w:r>
        <w:rPr>
          <w:szCs w:val="28"/>
        </w:rPr>
        <w:t xml:space="preserve"> и их двусторонние альтернативы </w:t>
      </w:r>
      <w:r w:rsidRPr="00BE1CC8">
        <w:rPr>
          <w:position w:val="-12"/>
          <w:szCs w:val="28"/>
        </w:rPr>
        <w:object w:dxaOrig="360" w:dyaOrig="400">
          <v:shape id="_x0000_i1035" type="#_x0000_t75" style="width:18.25pt;height:20.1pt" o:ole="" fillcolor="window">
            <v:imagedata r:id="rId25" o:title=""/>
          </v:shape>
          <o:OLEObject Type="Embed" ProgID="Equation.3" ShapeID="_x0000_i1035" DrawAspect="Content" ObjectID="_1268242167" r:id="rId26"/>
        </w:object>
      </w:r>
      <w:r>
        <w:rPr>
          <w:szCs w:val="28"/>
        </w:rPr>
        <w:t xml:space="preserve">  и </w:t>
      </w:r>
      <w:r w:rsidRPr="00BE1CC8">
        <w:rPr>
          <w:position w:val="-12"/>
          <w:szCs w:val="28"/>
        </w:rPr>
        <w:object w:dxaOrig="400" w:dyaOrig="400">
          <v:shape id="_x0000_i1036" type="#_x0000_t75" style="width:20.1pt;height:20.1pt" o:ole="" fillcolor="window">
            <v:imagedata r:id="rId27" o:title=""/>
          </v:shape>
          <o:OLEObject Type="Embed" ProgID="Equation.3" ShapeID="_x0000_i1036" DrawAspect="Content" ObjectID="_1268242168" r:id="rId28"/>
        </w:object>
      </w:r>
    </w:p>
    <w:p w:rsidR="0069779B" w:rsidRDefault="0069779B" w:rsidP="0069779B">
      <w:pPr>
        <w:tabs>
          <w:tab w:val="left" w:pos="8505"/>
        </w:tabs>
        <w:ind w:firstLine="567"/>
        <w:jc w:val="both"/>
        <w:rPr>
          <w:szCs w:val="28"/>
        </w:rPr>
      </w:pPr>
      <w:r w:rsidRPr="00BE1CC8">
        <w:rPr>
          <w:position w:val="-12"/>
          <w:szCs w:val="28"/>
        </w:rPr>
        <w:object w:dxaOrig="360" w:dyaOrig="380">
          <v:shape id="_x0000_i1037" type="#_x0000_t75" style="width:18.25pt;height:19.15pt" o:ole="" fillcolor="window">
            <v:imagedata r:id="rId21" o:title=""/>
          </v:shape>
          <o:OLEObject Type="Embed" ProgID="Equation.3" ShapeID="_x0000_i1037" DrawAspect="Content" ObjectID="_1268242169" r:id="rId29"/>
        </w:object>
      </w:r>
      <w:r>
        <w:rPr>
          <w:szCs w:val="28"/>
        </w:rPr>
        <w:t xml:space="preserve">:  </w:t>
      </w:r>
      <w:r w:rsidR="0070300A" w:rsidRPr="0070300A">
        <w:rPr>
          <w:position w:val="-10"/>
          <w:szCs w:val="28"/>
        </w:rPr>
        <w:object w:dxaOrig="260" w:dyaOrig="340">
          <v:shape id="_x0000_i1050" type="#_x0000_t75" style="width:13.1pt;height:17.3pt" o:ole="" fillcolor="window">
            <v:imagedata r:id="rId30" o:title=""/>
          </v:shape>
          <o:OLEObject Type="Embed" ProgID="Equation.3" ShapeID="_x0000_i1050" DrawAspect="Content" ObjectID="_1268242170" r:id="rId31"/>
        </w:object>
      </w:r>
      <w:r>
        <w:rPr>
          <w:szCs w:val="28"/>
        </w:rPr>
        <w:t>=</w:t>
      </w:r>
      <w:r w:rsidR="0070300A" w:rsidRPr="0070300A">
        <w:rPr>
          <w:position w:val="-10"/>
          <w:szCs w:val="28"/>
        </w:rPr>
        <w:object w:dxaOrig="279" w:dyaOrig="340">
          <v:shape id="_x0000_i1056" type="#_x0000_t75" style="width:14.05pt;height:17.3pt" o:ole="" fillcolor="window">
            <v:imagedata r:id="rId32" o:title=""/>
          </v:shape>
          <o:OLEObject Type="Embed" ProgID="Equation.3" ShapeID="_x0000_i1056" DrawAspect="Content" ObjectID="_1268242171" r:id="rId33"/>
        </w:object>
      </w:r>
      <w:r>
        <w:rPr>
          <w:szCs w:val="28"/>
        </w:rPr>
        <w:t xml:space="preserve">,  </w:t>
      </w:r>
      <w:r w:rsidRPr="00BE1CC8">
        <w:rPr>
          <w:position w:val="-12"/>
          <w:szCs w:val="28"/>
        </w:rPr>
        <w:object w:dxaOrig="360" w:dyaOrig="400">
          <v:shape id="_x0000_i1040" type="#_x0000_t75" style="width:18.25pt;height:20.1pt" o:ole="" fillcolor="window">
            <v:imagedata r:id="rId25" o:title=""/>
          </v:shape>
          <o:OLEObject Type="Embed" ProgID="Equation.3" ShapeID="_x0000_i1040" DrawAspect="Content" ObjectID="_1268242172" r:id="rId34"/>
        </w:object>
      </w:r>
      <w:r>
        <w:rPr>
          <w:szCs w:val="28"/>
        </w:rPr>
        <w:t xml:space="preserve">:  </w:t>
      </w:r>
      <w:r w:rsidR="0070300A" w:rsidRPr="0070300A">
        <w:rPr>
          <w:position w:val="-10"/>
          <w:szCs w:val="28"/>
        </w:rPr>
        <w:object w:dxaOrig="260" w:dyaOrig="340">
          <v:shape id="_x0000_i1064" type="#_x0000_t75" style="width:13.1pt;height:17.3pt" o:ole="" fillcolor="window">
            <v:imagedata r:id="rId35" o:title=""/>
          </v:shape>
          <o:OLEObject Type="Embed" ProgID="Equation.3" ShapeID="_x0000_i1064" DrawAspect="Content" ObjectID="_1268242173" r:id="rId36"/>
        </w:object>
      </w:r>
      <w:r>
        <w:rPr>
          <w:szCs w:val="28"/>
        </w:rPr>
        <w:t>≠</w:t>
      </w:r>
      <w:r w:rsidR="0070300A" w:rsidRPr="0070300A">
        <w:rPr>
          <w:position w:val="-10"/>
          <w:szCs w:val="28"/>
        </w:rPr>
        <w:object w:dxaOrig="279" w:dyaOrig="340">
          <v:shape id="_x0000_i1058" type="#_x0000_t75" style="width:14.05pt;height:17.3pt" o:ole="" fillcolor="window">
            <v:imagedata r:id="rId37" o:title=""/>
          </v:shape>
          <o:OLEObject Type="Embed" ProgID="Equation.3" ShapeID="_x0000_i1058" DrawAspect="Content" ObjectID="_1268242174" r:id="rId38"/>
        </w:object>
      </w:r>
      <w:r>
        <w:rPr>
          <w:szCs w:val="28"/>
        </w:rPr>
        <w:t xml:space="preserve">; </w:t>
      </w:r>
    </w:p>
    <w:p w:rsidR="0069779B" w:rsidRDefault="0069779B" w:rsidP="0069779B">
      <w:pPr>
        <w:ind w:firstLine="567"/>
        <w:jc w:val="both"/>
      </w:pPr>
      <w:r w:rsidRPr="00BE1CC8">
        <w:rPr>
          <w:position w:val="-12"/>
          <w:szCs w:val="28"/>
        </w:rPr>
        <w:object w:dxaOrig="400" w:dyaOrig="380">
          <v:shape id="_x0000_i1043" type="#_x0000_t75" style="width:20.1pt;height:19.15pt" o:ole="" fillcolor="window">
            <v:imagedata r:id="rId23" o:title=""/>
          </v:shape>
          <o:OLEObject Type="Embed" ProgID="Equation.3" ShapeID="_x0000_i1043" DrawAspect="Content" ObjectID="_1268242175" r:id="rId39"/>
        </w:object>
      </w:r>
      <w:r>
        <w:rPr>
          <w:szCs w:val="28"/>
        </w:rPr>
        <w:t xml:space="preserve">: </w:t>
      </w:r>
      <w:r w:rsidR="0070300A" w:rsidRPr="0070300A">
        <w:rPr>
          <w:position w:val="-14"/>
          <w:szCs w:val="28"/>
        </w:rPr>
        <w:object w:dxaOrig="320" w:dyaOrig="440">
          <v:shape id="_x0000_i1054" type="#_x0000_t75" style="width:15.9pt;height:21.95pt" o:ole="" fillcolor="window">
            <v:imagedata r:id="rId40" o:title=""/>
          </v:shape>
          <o:OLEObject Type="Embed" ProgID="Equation.3" ShapeID="_x0000_i1054" DrawAspect="Content" ObjectID="_1268242176" r:id="rId41"/>
        </w:object>
      </w:r>
      <w:r>
        <w:rPr>
          <w:szCs w:val="28"/>
        </w:rPr>
        <w:t xml:space="preserve">= </w:t>
      </w:r>
      <w:r w:rsidR="0070300A" w:rsidRPr="0070300A">
        <w:rPr>
          <w:position w:val="-10"/>
          <w:szCs w:val="28"/>
        </w:rPr>
        <w:object w:dxaOrig="279" w:dyaOrig="360">
          <v:shape id="_x0000_i1052" type="#_x0000_t75" style="width:14.05pt;height:17.75pt" o:ole="" fillcolor="window">
            <v:imagedata r:id="rId42" o:title=""/>
          </v:shape>
          <o:OLEObject Type="Embed" ProgID="Equation.3" ShapeID="_x0000_i1052" DrawAspect="Content" ObjectID="_1268242177" r:id="rId43"/>
        </w:object>
      </w:r>
      <w:r>
        <w:rPr>
          <w:szCs w:val="28"/>
        </w:rPr>
        <w:t xml:space="preserve">, </w:t>
      </w:r>
      <w:r w:rsidRPr="00BE1CC8">
        <w:rPr>
          <w:position w:val="-12"/>
          <w:szCs w:val="28"/>
        </w:rPr>
        <w:object w:dxaOrig="400" w:dyaOrig="400">
          <v:shape id="_x0000_i1046" type="#_x0000_t75" style="width:20.1pt;height:20.1pt" o:ole="" fillcolor="window">
            <v:imagedata r:id="rId27" o:title=""/>
          </v:shape>
          <o:OLEObject Type="Embed" ProgID="Equation.3" ShapeID="_x0000_i1046" DrawAspect="Content" ObjectID="_1268242178" r:id="rId44"/>
        </w:object>
      </w:r>
      <w:r>
        <w:rPr>
          <w:szCs w:val="28"/>
        </w:rPr>
        <w:t xml:space="preserve">: </w:t>
      </w:r>
      <w:r w:rsidR="0070300A" w:rsidRPr="0070300A">
        <w:rPr>
          <w:position w:val="-14"/>
          <w:szCs w:val="28"/>
        </w:rPr>
        <w:object w:dxaOrig="320" w:dyaOrig="440">
          <v:shape id="_x0000_i1060" type="#_x0000_t75" style="width:15.9pt;height:21.95pt" o:ole="" fillcolor="window">
            <v:imagedata r:id="rId45" o:title=""/>
          </v:shape>
          <o:OLEObject Type="Embed" ProgID="Equation.3" ShapeID="_x0000_i1060" DrawAspect="Content" ObjectID="_1268242179" r:id="rId46"/>
        </w:object>
      </w:r>
      <w:r>
        <w:rPr>
          <w:szCs w:val="28"/>
        </w:rPr>
        <w:t xml:space="preserve"> ≠</w:t>
      </w:r>
      <w:r w:rsidR="0070300A" w:rsidRPr="0070300A">
        <w:rPr>
          <w:position w:val="-10"/>
          <w:szCs w:val="28"/>
        </w:rPr>
        <w:object w:dxaOrig="279" w:dyaOrig="360">
          <v:shape id="_x0000_i1062" type="#_x0000_t75" style="width:14.05pt;height:17.75pt" o:ole="" fillcolor="window">
            <v:imagedata r:id="rId47" o:title=""/>
          </v:shape>
          <o:OLEObject Type="Embed" ProgID="Equation.3" ShapeID="_x0000_i1062" DrawAspect="Content" ObjectID="_1268242180" r:id="rId48"/>
        </w:object>
      </w:r>
      <w:r>
        <w:rPr>
          <w:szCs w:val="28"/>
        </w:rPr>
        <w:t>.</w:t>
      </w:r>
    </w:p>
    <w:p w:rsidR="003E3689" w:rsidRPr="0070300A" w:rsidRDefault="0070300A" w:rsidP="003E3689">
      <w:r w:rsidRPr="0070300A">
        <w:t xml:space="preserve">   </w:t>
      </w:r>
      <w:r>
        <w:t xml:space="preserve">И проверим их решающим </w:t>
      </w:r>
      <w:r w:rsidR="00DD3550">
        <w:t>правилом,</w:t>
      </w:r>
      <w:r>
        <w:t xml:space="preserve"> основанным на P значении:</w:t>
      </w:r>
      <w:r w:rsidRPr="0070300A">
        <w:t xml:space="preserve"> </w:t>
      </w:r>
      <w:r w:rsidRPr="0070300A">
        <w:rPr>
          <w:position w:val="-32"/>
          <w:szCs w:val="28"/>
        </w:rPr>
        <w:object w:dxaOrig="1860" w:dyaOrig="760">
          <v:shape id="_x0000_i1067" type="#_x0000_t75" style="width:93.05pt;height:37.85pt" o:ole="" fillcolor="window">
            <v:imagedata r:id="rId49" o:title=""/>
          </v:shape>
          <o:OLEObject Type="Embed" ProgID="Equation.3" ShapeID="_x0000_i1067" DrawAspect="Content" ObjectID="_1268242181" r:id="rId50"/>
        </w:object>
      </w:r>
      <w:r>
        <w:rPr>
          <w:bCs/>
          <w:szCs w:val="28"/>
        </w:rPr>
        <w:t>.</w:t>
      </w:r>
    </w:p>
    <w:p w:rsidR="003E3689" w:rsidRDefault="003E3689" w:rsidP="003E3689"/>
    <w:p w:rsidR="00DD3550" w:rsidRPr="00DD3550" w:rsidRDefault="00DD3550" w:rsidP="00DD3550">
      <w:pPr>
        <w:pStyle w:val="a3"/>
        <w:numPr>
          <w:ilvl w:val="0"/>
          <w:numId w:val="1"/>
        </w:numPr>
        <w:jc w:val="both"/>
      </w:pPr>
      <w:r>
        <w:t>Какие критерии могут быть  использованы для проверки выдвинутых гипотез?</w:t>
      </w:r>
    </w:p>
    <w:p w:rsidR="00DD3550" w:rsidRDefault="00DD3550" w:rsidP="00DD3550">
      <w:pPr>
        <w:pStyle w:val="a3"/>
        <w:ind w:left="927"/>
        <w:jc w:val="both"/>
      </w:pPr>
    </w:p>
    <w:p w:rsidR="00DD3550" w:rsidRDefault="00DD3550" w:rsidP="00DD3550">
      <w:pPr>
        <w:rPr>
          <w:szCs w:val="28"/>
        </w:rPr>
      </w:pPr>
      <w:r>
        <w:rPr>
          <w:szCs w:val="28"/>
        </w:rPr>
        <w:t>Если необходимо выяснить, за счет чего обнаружилась неоднородность рассматриваемых выборок, то следует дополнительно произвести проверку однородности дисперсий.</w:t>
      </w:r>
    </w:p>
    <w:p w:rsidR="00DD3550" w:rsidRDefault="00DD3550" w:rsidP="00DD3550">
      <w:pPr>
        <w:jc w:val="both"/>
        <w:rPr>
          <w:szCs w:val="28"/>
        </w:rPr>
      </w:pPr>
      <w:r>
        <w:rPr>
          <w:b/>
          <w:bCs/>
          <w:szCs w:val="28"/>
        </w:rPr>
        <w:lastRenderedPageBreak/>
        <w:t xml:space="preserve">Статистический критерий однородности двух выборочных дисперсий </w:t>
      </w:r>
      <w:r>
        <w:rPr>
          <w:szCs w:val="28"/>
        </w:rPr>
        <w:t>основан на статистике</w:t>
      </w:r>
    </w:p>
    <w:p w:rsidR="00DD3550" w:rsidRDefault="00DD3550" w:rsidP="00DD3550">
      <w:pPr>
        <w:jc w:val="center"/>
        <w:rPr>
          <w:szCs w:val="28"/>
        </w:rPr>
      </w:pPr>
      <w:r>
        <w:rPr>
          <w:i/>
          <w:iCs/>
          <w:sz w:val="28"/>
          <w:szCs w:val="28"/>
        </w:rPr>
        <w:t>F</w:t>
      </w:r>
      <w:r>
        <w:rPr>
          <w:i/>
          <w:iCs/>
          <w:szCs w:val="28"/>
        </w:rPr>
        <w:t> </w:t>
      </w:r>
      <w:r>
        <w:rPr>
          <w:szCs w:val="28"/>
        </w:rPr>
        <w:t>= </w:t>
      </w:r>
      <w:r>
        <w:rPr>
          <w:position w:val="-36"/>
          <w:szCs w:val="28"/>
        </w:rPr>
        <w:object w:dxaOrig="380" w:dyaOrig="859">
          <v:shape id="_x0000_i1098" type="#_x0000_t75" style="width:19.15pt;height:43pt" o:ole="">
            <v:imagedata r:id="rId51" o:title=""/>
          </v:shape>
          <o:OLEObject Type="Embed" ProgID="Equation.3" ShapeID="_x0000_i1098" DrawAspect="Content" ObjectID="_1268242182" r:id="rId52"/>
        </w:object>
      </w:r>
      <w:r>
        <w:rPr>
          <w:szCs w:val="28"/>
        </w:rPr>
        <w:t> </w:t>
      </w:r>
      <w:r>
        <w:rPr>
          <w:position w:val="-84"/>
          <w:szCs w:val="28"/>
        </w:rPr>
        <w:object w:dxaOrig="2760" w:dyaOrig="1760">
          <v:shape id="_x0000_i1099" type="#_x0000_t75" style="width:137.9pt;height:87.9pt" o:ole="" fillcolor="window">
            <v:imagedata r:id="rId53" o:title=""/>
          </v:shape>
          <o:OLEObject Type="Embed" ProgID="Equation.3" ShapeID="_x0000_i1099" DrawAspect="Content" ObjectID="_1268242183" r:id="rId54"/>
        </w:object>
      </w:r>
      <w:r>
        <w:rPr>
          <w:szCs w:val="28"/>
        </w:rPr>
        <w:t>,</w:t>
      </w:r>
    </w:p>
    <w:p w:rsidR="00DD3550" w:rsidRDefault="00DD3550" w:rsidP="00DD3550">
      <w:pPr>
        <w:jc w:val="both"/>
        <w:rPr>
          <w:szCs w:val="28"/>
        </w:rPr>
      </w:pPr>
      <w:r>
        <w:rPr>
          <w:szCs w:val="28"/>
        </w:rPr>
        <w:t xml:space="preserve">которая в условиях справедливости гипотезы </w:t>
      </w:r>
      <w:r>
        <w:rPr>
          <w:position w:val="-12"/>
          <w:szCs w:val="28"/>
        </w:rPr>
        <w:object w:dxaOrig="400" w:dyaOrig="380">
          <v:shape id="_x0000_i1100" type="#_x0000_t75" style="width:20.1pt;height:19.15pt" o:ole="" fillcolor="window">
            <v:imagedata r:id="rId55" o:title=""/>
          </v:shape>
          <o:OLEObject Type="Embed" ProgID="Equation.3" ShapeID="_x0000_i1100" DrawAspect="Content" ObjectID="_1268242184" r:id="rId56"/>
        </w:object>
      </w:r>
      <w:r>
        <w:rPr>
          <w:szCs w:val="28"/>
        </w:rPr>
        <w:t xml:space="preserve"> имеет </w:t>
      </w:r>
      <w:r>
        <w:rPr>
          <w:i/>
          <w:iCs/>
          <w:szCs w:val="28"/>
        </w:rPr>
        <w:t>F–</w:t>
      </w:r>
      <w:r>
        <w:rPr>
          <w:szCs w:val="28"/>
        </w:rPr>
        <w:t xml:space="preserve">распределение Фишера с числами степеней свободы числителя и знаменателя, равными соответственно </w:t>
      </w:r>
      <w:r>
        <w:rPr>
          <w:position w:val="-12"/>
          <w:szCs w:val="28"/>
        </w:rPr>
        <w:object w:dxaOrig="279" w:dyaOrig="380">
          <v:shape id="_x0000_i1101" type="#_x0000_t75" style="width:14.05pt;height:19.15pt" o:ole="" fillcolor="window">
            <v:imagedata r:id="rId57" o:title=""/>
          </v:shape>
          <o:OLEObject Type="Embed" ProgID="Equation.3" ShapeID="_x0000_i1101" DrawAspect="Content" ObjectID="_1268242185" r:id="rId58"/>
        </w:object>
      </w:r>
      <w:r>
        <w:rPr>
          <w:i/>
          <w:iCs/>
          <w:szCs w:val="28"/>
        </w:rPr>
        <w:t>– </w:t>
      </w:r>
      <w:r>
        <w:rPr>
          <w:szCs w:val="28"/>
        </w:rPr>
        <w:t xml:space="preserve">1 и </w:t>
      </w:r>
      <w:r>
        <w:rPr>
          <w:position w:val="-16"/>
          <w:szCs w:val="28"/>
        </w:rPr>
        <w:object w:dxaOrig="340" w:dyaOrig="420">
          <v:shape id="_x0000_i1102" type="#_x0000_t75" style="width:16.85pt;height:21.05pt" o:ole="" fillcolor="window">
            <v:imagedata r:id="rId59" o:title=""/>
          </v:shape>
          <o:OLEObject Type="Embed" ProgID="Equation.3" ShapeID="_x0000_i1102" DrawAspect="Content" ObjectID="_1268242186" r:id="rId60"/>
        </w:object>
      </w:r>
      <w:r>
        <w:rPr>
          <w:i/>
          <w:iCs/>
          <w:szCs w:val="28"/>
        </w:rPr>
        <w:t>–</w:t>
      </w:r>
      <w:r>
        <w:rPr>
          <w:szCs w:val="28"/>
        </w:rPr>
        <w:t>1.</w:t>
      </w:r>
    </w:p>
    <w:p w:rsidR="00DD3550" w:rsidRDefault="00DD3550" w:rsidP="00DD3550"/>
    <w:p w:rsidR="00DD3550" w:rsidRDefault="00DD3550" w:rsidP="00DD3550">
      <w:pPr>
        <w:tabs>
          <w:tab w:val="left" w:pos="0"/>
        </w:tabs>
        <w:ind w:firstLine="567"/>
        <w:jc w:val="both"/>
        <w:rPr>
          <w:szCs w:val="28"/>
        </w:rPr>
      </w:pPr>
      <w:r>
        <w:rPr>
          <w:szCs w:val="28"/>
        </w:rPr>
        <w:t xml:space="preserve">Для проверки гипотезы равенства математических ожиданий в двух выборках в этом случае используется </w:t>
      </w:r>
      <w:r>
        <w:rPr>
          <w:b/>
          <w:bCs/>
          <w:i/>
          <w:iCs/>
          <w:szCs w:val="28"/>
        </w:rPr>
        <w:t>t</w:t>
      </w:r>
      <w:r>
        <w:rPr>
          <w:b/>
          <w:bCs/>
          <w:szCs w:val="28"/>
        </w:rPr>
        <w:t>–критерий Стьюдента</w:t>
      </w:r>
      <w:r>
        <w:rPr>
          <w:szCs w:val="28"/>
        </w:rPr>
        <w:t xml:space="preserve">, или </w:t>
      </w:r>
      <w:r>
        <w:rPr>
          <w:b/>
          <w:bCs/>
          <w:szCs w:val="28"/>
        </w:rPr>
        <w:t>двухвыборочная статистика Стьюдента</w:t>
      </w:r>
      <w:r>
        <w:rPr>
          <w:szCs w:val="28"/>
        </w:rPr>
        <w:t xml:space="preserve">:       </w:t>
      </w:r>
    </w:p>
    <w:p w:rsidR="00DD3550" w:rsidRDefault="00DD3550" w:rsidP="00DD3550">
      <w:pPr>
        <w:rPr>
          <w:szCs w:val="32"/>
          <w:lang w:val="en-US"/>
        </w:rPr>
      </w:pPr>
      <w:r>
        <w:rPr>
          <w:i/>
          <w:iCs/>
          <w:szCs w:val="28"/>
        </w:rPr>
        <w:t>t</w:t>
      </w:r>
      <w:r>
        <w:rPr>
          <w:szCs w:val="28"/>
        </w:rPr>
        <w:t xml:space="preserve"> = (</w:t>
      </w:r>
      <w:r>
        <w:rPr>
          <w:position w:val="-12"/>
          <w:szCs w:val="28"/>
        </w:rPr>
        <w:object w:dxaOrig="360" w:dyaOrig="400">
          <v:shape id="_x0000_i1108" type="#_x0000_t75" style="width:18.25pt;height:20.1pt" o:ole="" fillcolor="window">
            <v:imagedata r:id="rId61" o:title=""/>
          </v:shape>
          <o:OLEObject Type="Embed" ProgID="Equation.3" ShapeID="_x0000_i1108" DrawAspect="Content" ObjectID="_1268242187" r:id="rId62"/>
        </w:object>
      </w:r>
      <w:r>
        <w:rPr>
          <w:szCs w:val="28"/>
        </w:rPr>
        <w:t xml:space="preserve"> </w:t>
      </w:r>
      <w:r>
        <w:rPr>
          <w:i/>
          <w:iCs/>
          <w:szCs w:val="28"/>
        </w:rPr>
        <w:t xml:space="preserve">– </w:t>
      </w:r>
      <w:r>
        <w:rPr>
          <w:position w:val="-12"/>
          <w:szCs w:val="28"/>
        </w:rPr>
        <w:object w:dxaOrig="400" w:dyaOrig="400">
          <v:shape id="_x0000_i1109" type="#_x0000_t75" style="width:20.1pt;height:20.1pt" o:ole="" fillcolor="window">
            <v:imagedata r:id="rId63" o:title=""/>
          </v:shape>
          <o:OLEObject Type="Embed" ProgID="Equation.3" ShapeID="_x0000_i1109" DrawAspect="Content" ObjectID="_1268242188" r:id="rId64"/>
        </w:object>
      </w:r>
      <w:r>
        <w:rPr>
          <w:szCs w:val="28"/>
        </w:rPr>
        <w:t>) / (</w:t>
      </w:r>
      <w:r>
        <w:rPr>
          <w:position w:val="-6"/>
          <w:szCs w:val="28"/>
        </w:rPr>
        <w:object w:dxaOrig="300" w:dyaOrig="380">
          <v:shape id="_x0000_i1110" type="#_x0000_t75" style="width:14.95pt;height:19.15pt" o:ole="" fillcolor="window">
            <v:imagedata r:id="rId65" o:title=""/>
          </v:shape>
          <o:OLEObject Type="Embed" ProgID="Equation.3" ShapeID="_x0000_i1110" DrawAspect="Content" ObjectID="_1268242189" r:id="rId66"/>
        </w:object>
      </w:r>
      <w:r>
        <w:rPr>
          <w:szCs w:val="28"/>
        </w:rPr>
        <w:t xml:space="preserve"> (1/</w:t>
      </w:r>
      <w:r>
        <w:rPr>
          <w:position w:val="-12"/>
          <w:szCs w:val="28"/>
        </w:rPr>
        <w:object w:dxaOrig="279" w:dyaOrig="380">
          <v:shape id="_x0000_i1111" type="#_x0000_t75" style="width:14.05pt;height:19.15pt" o:ole="" fillcolor="window">
            <v:imagedata r:id="rId57" o:title=""/>
          </v:shape>
          <o:OLEObject Type="Embed" ProgID="Equation.3" ShapeID="_x0000_i1111" DrawAspect="Content" ObjectID="_1268242190" r:id="rId67"/>
        </w:object>
      </w:r>
      <w:r>
        <w:rPr>
          <w:szCs w:val="28"/>
        </w:rPr>
        <w:t>+ 1/</w:t>
      </w:r>
      <w:r>
        <w:rPr>
          <w:position w:val="-16"/>
          <w:szCs w:val="28"/>
        </w:rPr>
        <w:object w:dxaOrig="340" w:dyaOrig="420">
          <v:shape id="_x0000_i1112" type="#_x0000_t75" style="width:16.85pt;height:21.05pt" o:ole="" fillcolor="window">
            <v:imagedata r:id="rId59" o:title=""/>
          </v:shape>
          <o:OLEObject Type="Embed" ProgID="Equation.3" ShapeID="_x0000_i1112" DrawAspect="Content" ObjectID="_1268242191" r:id="rId68"/>
        </w:object>
      </w:r>
      <w:r>
        <w:rPr>
          <w:szCs w:val="28"/>
        </w:rPr>
        <w:t>))</w:t>
      </w:r>
      <w:r>
        <w:rPr>
          <w:szCs w:val="32"/>
          <w:vertAlign w:val="superscript"/>
        </w:rPr>
        <w:t>1/2</w:t>
      </w:r>
      <w:r>
        <w:rPr>
          <w:szCs w:val="32"/>
        </w:rPr>
        <w:t xml:space="preserve"> .</w:t>
      </w:r>
    </w:p>
    <w:p w:rsidR="00DD3550" w:rsidRDefault="00DD3550" w:rsidP="00DD3550">
      <w:pPr>
        <w:ind w:firstLine="567"/>
        <w:jc w:val="both"/>
        <w:rPr>
          <w:szCs w:val="28"/>
        </w:rPr>
      </w:pPr>
      <w:r>
        <w:rPr>
          <w:szCs w:val="28"/>
        </w:rPr>
        <w:t xml:space="preserve">Критерий оказывается чувствительным к отклонениям распределений от нормальности, различиям дисперсий  </w:t>
      </w:r>
      <w:r>
        <w:rPr>
          <w:position w:val="-12"/>
          <w:szCs w:val="28"/>
        </w:rPr>
        <w:object w:dxaOrig="340" w:dyaOrig="440">
          <v:shape id="_x0000_i1118" type="#_x0000_t75" style="width:16.85pt;height:21.95pt" o:ole="" fillcolor="window">
            <v:imagedata r:id="rId69" o:title=""/>
          </v:shape>
          <o:OLEObject Type="Embed" ProgID="Equation.3" ShapeID="_x0000_i1118" DrawAspect="Content" ObjectID="_1268242192" r:id="rId70"/>
        </w:object>
      </w:r>
      <w:r>
        <w:rPr>
          <w:szCs w:val="28"/>
        </w:rPr>
        <w:t xml:space="preserve"> и </w:t>
      </w:r>
      <w:r>
        <w:rPr>
          <w:position w:val="-12"/>
          <w:szCs w:val="28"/>
        </w:rPr>
        <w:object w:dxaOrig="340" w:dyaOrig="440">
          <v:shape id="_x0000_i1119" type="#_x0000_t75" style="width:16.85pt;height:21.95pt" o:ole="" fillcolor="window">
            <v:imagedata r:id="rId71" o:title=""/>
          </v:shape>
          <o:OLEObject Type="Embed" ProgID="Equation.3" ShapeID="_x0000_i1119" DrawAspect="Content" ObjectID="_1268242193" r:id="rId72"/>
        </w:object>
      </w:r>
      <w:r>
        <w:rPr>
          <w:szCs w:val="28"/>
        </w:rPr>
        <w:t xml:space="preserve"> и неравенству объемов выборок </w:t>
      </w:r>
      <w:r>
        <w:rPr>
          <w:position w:val="-12"/>
          <w:szCs w:val="28"/>
        </w:rPr>
        <w:object w:dxaOrig="279" w:dyaOrig="380">
          <v:shape id="_x0000_i1120" type="#_x0000_t75" style="width:14.05pt;height:19.15pt" o:ole="" fillcolor="window">
            <v:imagedata r:id="rId57" o:title=""/>
          </v:shape>
          <o:OLEObject Type="Embed" ProgID="Equation.3" ShapeID="_x0000_i1120" DrawAspect="Content" ObjectID="_1268242194" r:id="rId73"/>
        </w:object>
      </w:r>
      <w:r>
        <w:rPr>
          <w:szCs w:val="28"/>
        </w:rPr>
        <w:t xml:space="preserve"> и </w:t>
      </w:r>
      <w:r>
        <w:rPr>
          <w:position w:val="-16"/>
          <w:szCs w:val="28"/>
        </w:rPr>
        <w:object w:dxaOrig="340" w:dyaOrig="420">
          <v:shape id="_x0000_i1121" type="#_x0000_t75" style="width:16.85pt;height:21.05pt" o:ole="" fillcolor="window">
            <v:imagedata r:id="rId59" o:title=""/>
          </v:shape>
          <o:OLEObject Type="Embed" ProgID="Equation.3" ShapeID="_x0000_i1121" DrawAspect="Content" ObjectID="_1268242195" r:id="rId74"/>
        </w:object>
      </w:r>
      <w:r>
        <w:rPr>
          <w:szCs w:val="28"/>
        </w:rPr>
        <w:t>.</w:t>
      </w:r>
    </w:p>
    <w:p w:rsidR="00DD3550" w:rsidRPr="00DD3550" w:rsidRDefault="00DD3550" w:rsidP="00DD3550">
      <w:pPr>
        <w:ind w:firstLine="567"/>
        <w:jc w:val="both"/>
        <w:rPr>
          <w:szCs w:val="28"/>
        </w:rPr>
      </w:pPr>
      <w:r>
        <w:rPr>
          <w:szCs w:val="28"/>
        </w:rPr>
        <w:t>Для обеспечения устойчивости решений к нарушению нормальности распределения и равенства дисперсий, разработаны устойчивые критерии, например</w:t>
      </w:r>
      <w:r>
        <w:rPr>
          <w:b/>
          <w:bCs/>
          <w:szCs w:val="28"/>
        </w:rPr>
        <w:t xml:space="preserve">, </w:t>
      </w:r>
      <w:r>
        <w:rPr>
          <w:b/>
          <w:bCs/>
          <w:i/>
          <w:iCs/>
          <w:szCs w:val="28"/>
        </w:rPr>
        <w:t>t</w:t>
      </w:r>
      <w:r>
        <w:rPr>
          <w:b/>
          <w:bCs/>
          <w:szCs w:val="28"/>
        </w:rPr>
        <w:t>–критерий Уэлча</w:t>
      </w:r>
      <w:r w:rsidRPr="00DD3550">
        <w:rPr>
          <w:szCs w:val="28"/>
        </w:rPr>
        <w:t>.</w:t>
      </w:r>
    </w:p>
    <w:p w:rsidR="00DD3550" w:rsidRDefault="00DD3550" w:rsidP="00DD3550">
      <w:pPr>
        <w:rPr>
          <w:lang w:val="en-US"/>
        </w:rPr>
      </w:pPr>
    </w:p>
    <w:p w:rsidR="00A95CF4" w:rsidRDefault="00A95CF4" w:rsidP="00A95CF4">
      <w:pPr>
        <w:numPr>
          <w:ilvl w:val="0"/>
          <w:numId w:val="1"/>
        </w:numPr>
        <w:jc w:val="both"/>
      </w:pPr>
      <w:r>
        <w:t>Как можно интерпретировать результаты проверки гипотез?</w:t>
      </w:r>
    </w:p>
    <w:p w:rsidR="00A95CF4" w:rsidRDefault="00A95CF4" w:rsidP="00A95CF4">
      <w:pPr>
        <w:rPr>
          <w:lang w:val="en-US"/>
        </w:rPr>
      </w:pPr>
    </w:p>
    <w:p w:rsidR="00A95CF4" w:rsidRDefault="00A95CF4" w:rsidP="00A95CF4">
      <w:r w:rsidRPr="00A95CF4">
        <w:t xml:space="preserve">При равенстве мат ожиданий можно </w:t>
      </w:r>
      <w:r>
        <w:t>сказать, что:</w:t>
      </w:r>
    </w:p>
    <w:p w:rsidR="00A95CF4" w:rsidRDefault="00A95CF4" w:rsidP="00A95CF4">
      <w:r>
        <w:tab/>
        <w:t xml:space="preserve">а) сердечнососудистые заболевания не зависят от </w:t>
      </w:r>
    </w:p>
    <w:p w:rsidR="00A95CF4" w:rsidRDefault="00A95CF4" w:rsidP="00A95CF4">
      <w:pPr>
        <w:pStyle w:val="a3"/>
        <w:numPr>
          <w:ilvl w:val="0"/>
          <w:numId w:val="6"/>
        </w:numPr>
      </w:pPr>
      <w:r>
        <w:t xml:space="preserve">биохимических показателей крови;  </w:t>
      </w:r>
    </w:p>
    <w:p w:rsidR="00A95CF4" w:rsidRDefault="00A95CF4" w:rsidP="00A95CF4">
      <w:pPr>
        <w:pStyle w:val="a3"/>
        <w:numPr>
          <w:ilvl w:val="0"/>
          <w:numId w:val="6"/>
        </w:numPr>
      </w:pPr>
      <w:r>
        <w:t xml:space="preserve">артериального давления; </w:t>
      </w:r>
    </w:p>
    <w:p w:rsidR="00A95CF4" w:rsidRDefault="00A95CF4" w:rsidP="00A95CF4">
      <w:pPr>
        <w:pStyle w:val="a3"/>
        <w:numPr>
          <w:ilvl w:val="0"/>
          <w:numId w:val="6"/>
        </w:numPr>
      </w:pPr>
      <w:r>
        <w:t xml:space="preserve">антропометрических показателей (вес, рост, жизненная емкость легких и т. д.); </w:t>
      </w:r>
    </w:p>
    <w:p w:rsidR="00A95CF4" w:rsidRDefault="00A95CF4" w:rsidP="00A95CF4">
      <w:pPr>
        <w:pStyle w:val="a3"/>
        <w:numPr>
          <w:ilvl w:val="0"/>
          <w:numId w:val="6"/>
        </w:numPr>
      </w:pPr>
      <w:r>
        <w:t>факторов риска (число выкуриваемых сигарет в сутки, уровень физической активности, наличие повышенного артериального давления и т. д.);</w:t>
      </w:r>
    </w:p>
    <w:p w:rsidR="00A95CF4" w:rsidRDefault="00A95CF4" w:rsidP="00A95CF4">
      <w:pPr>
        <w:ind w:left="708"/>
      </w:pPr>
      <w:r>
        <w:t>б) люди, проживающие в местах загрязнения радиоактивных веществ</w:t>
      </w:r>
      <w:r w:rsidR="004567AC">
        <w:t>,</w:t>
      </w:r>
      <w:r>
        <w:t xml:space="preserve"> имеют такой же уровень заболеваний, как и другие.</w:t>
      </w:r>
    </w:p>
    <w:p w:rsidR="00A95CF4" w:rsidRPr="00F70DCE" w:rsidRDefault="00A95CF4" w:rsidP="00A95CF4">
      <w:pPr>
        <w:pStyle w:val="a3"/>
        <w:numPr>
          <w:ilvl w:val="0"/>
          <w:numId w:val="7"/>
        </w:numPr>
      </w:pPr>
      <w:r>
        <w:t>наличие различных видов заболеваний,</w:t>
      </w:r>
    </w:p>
    <w:p w:rsidR="00A95CF4" w:rsidRPr="00F70DCE" w:rsidRDefault="00A95CF4" w:rsidP="00A95CF4">
      <w:pPr>
        <w:pStyle w:val="a3"/>
        <w:numPr>
          <w:ilvl w:val="0"/>
          <w:numId w:val="7"/>
        </w:numPr>
      </w:pPr>
      <w:r>
        <w:t>наличие факторов риска,</w:t>
      </w:r>
    </w:p>
    <w:p w:rsidR="00A95CF4" w:rsidRDefault="00A95CF4" w:rsidP="00A95CF4">
      <w:pPr>
        <w:pStyle w:val="a3"/>
        <w:numPr>
          <w:ilvl w:val="0"/>
          <w:numId w:val="7"/>
        </w:numPr>
      </w:pPr>
      <w:r>
        <w:t>биохимические показатели крови,  артериальное давление, иммунологические показатели.</w:t>
      </w:r>
    </w:p>
    <w:p w:rsidR="00A95CF4" w:rsidRPr="0070300A" w:rsidRDefault="00A95CF4" w:rsidP="00A95CF4"/>
    <w:p w:rsidR="000E3B02" w:rsidRDefault="000E3B02" w:rsidP="000E3B02">
      <w:pPr>
        <w:numPr>
          <w:ilvl w:val="0"/>
          <w:numId w:val="1"/>
        </w:numPr>
        <w:jc w:val="both"/>
      </w:pPr>
      <w:r>
        <w:t>Как должны быть  представлены исходные данные в статистических пакетах для выполнения вычислений, связанных  с проверкой гипотез согласия и однородности?</w:t>
      </w:r>
    </w:p>
    <w:p w:rsidR="00A95CF4" w:rsidRDefault="00A95CF4" w:rsidP="000E3B02"/>
    <w:p w:rsidR="000E3B02" w:rsidRDefault="000E3B02" w:rsidP="000E3B02">
      <w:pPr>
        <w:ind w:firstLine="567"/>
      </w:pPr>
      <w:r>
        <w:t>Для первого должно быть четыре колонки со значениями атрибутов, и одна колонка с двумя группами.</w:t>
      </w:r>
    </w:p>
    <w:p w:rsidR="000E3B02" w:rsidRPr="00A95CF4" w:rsidRDefault="000E3B02" w:rsidP="000E3B02">
      <w:pPr>
        <w:ind w:firstLine="708"/>
      </w:pPr>
      <w:r>
        <w:t>Для второго должно быть три колонки со значениями атрибутов, и одна колонка с двумя группами.</w:t>
      </w:r>
    </w:p>
    <w:sectPr w:rsidR="000E3B02" w:rsidRPr="00A95CF4" w:rsidSect="00CB5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B3188"/>
    <w:multiLevelType w:val="hybridMultilevel"/>
    <w:tmpl w:val="CF86F5AC"/>
    <w:lvl w:ilvl="0" w:tplc="04190019">
      <w:start w:val="1"/>
      <w:numFmt w:val="lowerLetter"/>
      <w:lvlText w:val="%1."/>
      <w:lvlJc w:val="left"/>
      <w:pPr>
        <w:ind w:left="2508" w:hanging="360"/>
      </w:pPr>
    </w:lvl>
    <w:lvl w:ilvl="1" w:tplc="04190019" w:tentative="1">
      <w:start w:val="1"/>
      <w:numFmt w:val="lowerLetter"/>
      <w:lvlText w:val="%2."/>
      <w:lvlJc w:val="left"/>
      <w:pPr>
        <w:ind w:left="3228" w:hanging="360"/>
      </w:pPr>
    </w:lvl>
    <w:lvl w:ilvl="2" w:tplc="0419001B" w:tentative="1">
      <w:start w:val="1"/>
      <w:numFmt w:val="lowerRoman"/>
      <w:lvlText w:val="%3."/>
      <w:lvlJc w:val="right"/>
      <w:pPr>
        <w:ind w:left="3948" w:hanging="180"/>
      </w:pPr>
    </w:lvl>
    <w:lvl w:ilvl="3" w:tplc="0419000F" w:tentative="1">
      <w:start w:val="1"/>
      <w:numFmt w:val="decimal"/>
      <w:lvlText w:val="%4."/>
      <w:lvlJc w:val="left"/>
      <w:pPr>
        <w:ind w:left="4668" w:hanging="360"/>
      </w:pPr>
    </w:lvl>
    <w:lvl w:ilvl="4" w:tplc="04190019" w:tentative="1">
      <w:start w:val="1"/>
      <w:numFmt w:val="lowerLetter"/>
      <w:lvlText w:val="%5."/>
      <w:lvlJc w:val="left"/>
      <w:pPr>
        <w:ind w:left="5388" w:hanging="360"/>
      </w:pPr>
    </w:lvl>
    <w:lvl w:ilvl="5" w:tplc="0419001B" w:tentative="1">
      <w:start w:val="1"/>
      <w:numFmt w:val="lowerRoman"/>
      <w:lvlText w:val="%6."/>
      <w:lvlJc w:val="right"/>
      <w:pPr>
        <w:ind w:left="6108" w:hanging="180"/>
      </w:pPr>
    </w:lvl>
    <w:lvl w:ilvl="6" w:tplc="0419000F" w:tentative="1">
      <w:start w:val="1"/>
      <w:numFmt w:val="decimal"/>
      <w:lvlText w:val="%7."/>
      <w:lvlJc w:val="left"/>
      <w:pPr>
        <w:ind w:left="6828" w:hanging="360"/>
      </w:pPr>
    </w:lvl>
    <w:lvl w:ilvl="7" w:tplc="04190019" w:tentative="1">
      <w:start w:val="1"/>
      <w:numFmt w:val="lowerLetter"/>
      <w:lvlText w:val="%8."/>
      <w:lvlJc w:val="left"/>
      <w:pPr>
        <w:ind w:left="7548" w:hanging="360"/>
      </w:pPr>
    </w:lvl>
    <w:lvl w:ilvl="8" w:tplc="041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">
    <w:nsid w:val="434200F0"/>
    <w:multiLevelType w:val="singleLevel"/>
    <w:tmpl w:val="540248C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>
    <w:nsid w:val="447038A4"/>
    <w:multiLevelType w:val="hybridMultilevel"/>
    <w:tmpl w:val="70FACB14"/>
    <w:lvl w:ilvl="0" w:tplc="04190019">
      <w:start w:val="1"/>
      <w:numFmt w:val="lowerLetter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>
    <w:nsid w:val="4BF3729C"/>
    <w:multiLevelType w:val="singleLevel"/>
    <w:tmpl w:val="540248C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53BE74A3"/>
    <w:multiLevelType w:val="multilevel"/>
    <w:tmpl w:val="A36E4696"/>
    <w:lvl w:ilvl="0">
      <w:start w:val="2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697" w:hanging="13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space"/>
      <w:lvlText w:val="%3.%2.2."/>
      <w:lvlJc w:val="left"/>
      <w:pPr>
        <w:ind w:left="697" w:hanging="13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64B24E14"/>
    <w:multiLevelType w:val="singleLevel"/>
    <w:tmpl w:val="A9BAE1E0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</w:abstractNum>
  <w:abstractNum w:abstractNumId="6">
    <w:nsid w:val="7D2D7982"/>
    <w:multiLevelType w:val="hybridMultilevel"/>
    <w:tmpl w:val="47E0CBA4"/>
    <w:lvl w:ilvl="0" w:tplc="374005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characterSpacingControl w:val="doNotCompress"/>
  <w:compat/>
  <w:rsids>
    <w:rsidRoot w:val="00F70DCE"/>
    <w:rsid w:val="000E3B02"/>
    <w:rsid w:val="003E3689"/>
    <w:rsid w:val="004567AC"/>
    <w:rsid w:val="0069779B"/>
    <w:rsid w:val="0070300A"/>
    <w:rsid w:val="00A07DD1"/>
    <w:rsid w:val="00A95CF4"/>
    <w:rsid w:val="00BE1CC8"/>
    <w:rsid w:val="00CB5C22"/>
    <w:rsid w:val="00DD3550"/>
    <w:rsid w:val="00F70DCE"/>
    <w:rsid w:val="00FB7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D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9779B"/>
    <w:pPr>
      <w:keepNext/>
      <w:numPr>
        <w:numId w:val="4"/>
      </w:numPr>
      <w:spacing w:before="240" w:after="60"/>
      <w:jc w:val="center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69779B"/>
    <w:pPr>
      <w:keepNext/>
      <w:numPr>
        <w:ilvl w:val="1"/>
        <w:numId w:val="4"/>
      </w:numPr>
      <w:spacing w:before="240" w:after="6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69779B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DCE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69779B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9779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9779B"/>
    <w:rPr>
      <w:rFonts w:ascii="Arial" w:eastAsia="Times New Roman" w:hAnsi="Arial" w:cs="Arial"/>
      <w:sz w:val="26"/>
      <w:szCs w:val="26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5.bin"/><Relationship Id="rId76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9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0.wmf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6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0F2E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9</cp:revision>
  <dcterms:created xsi:type="dcterms:W3CDTF">2008-03-28T18:08:00Z</dcterms:created>
  <dcterms:modified xsi:type="dcterms:W3CDTF">2008-03-28T18:40:00Z</dcterms:modified>
</cp:coreProperties>
</file>