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Metrics</w:t>
      </w:r>
    </w:p>
    <w:p>
      <w:r>
        <w:t>Table 2 displays response time breakdown across server configurations.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r>
              <w:t>Config</w:t>
            </w:r>
          </w:p>
        </w:tc>
        <w:tc>
          <w:tcPr>
            <w:tcW w:type="dxa" w:w="4320"/>
            <w:gridSpan w:val="2"/>
          </w:tcPr>
          <w:p>
            <w:r>
              <w:t>Latency (ms)</w:t>
            </w:r>
          </w:p>
        </w:tc>
        <w:tc>
          <w:tcPr>
            <w:tcW w:type="dxa" w:w="2160"/>
            <w:vMerge w:val="restart"/>
          </w:tcPr>
          <w:p>
            <w:r>
              <w:t>Throughput (rps)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p50</w:t>
            </w:r>
          </w:p>
        </w:tc>
        <w:tc>
          <w:tcPr>
            <w:tcW w:type="dxa" w:w="2160"/>
          </w:tcPr>
          <w:p>
            <w:r>
              <w:t>p99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1,200</w:t>
            </w:r>
          </w:p>
        </w:tc>
      </w:tr>
      <w:tr>
        <w:tc>
          <w:tcPr>
            <w:tcW w:type="dxa" w:w="2160"/>
          </w:tcPr>
          <w:p>
            <w:r>
              <w:t>Optimized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3,450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