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Regional Summary</w:t>
      </w:r>
    </w:p>
    <w:p>
      <w:r>
        <w:t>Table 3 presents comprehensive performance statistics across all measured geographic regions.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Region</w:t>
            </w:r>
          </w:p>
        </w:tc>
        <w:tc>
          <w:tcPr>
            <w:tcW w:type="dxa" w:w="960"/>
          </w:tcPr>
          <w:p>
            <w:r>
              <w:t>Nodes</w:t>
            </w:r>
          </w:p>
        </w:tc>
        <w:tc>
          <w:tcPr>
            <w:tcW w:type="dxa" w:w="960"/>
          </w:tcPr>
          <w:p>
            <w:r>
              <w:t>Active Users</w:t>
            </w:r>
          </w:p>
        </w:tc>
        <w:tc>
          <w:tcPr>
            <w:tcW w:type="dxa" w:w="960"/>
          </w:tcPr>
          <w:p>
            <w:r>
              <w:t>P95 Latency</w:t>
            </w:r>
          </w:p>
        </w:tc>
        <w:tc>
          <w:tcPr>
            <w:tcW w:type="dxa" w:w="960"/>
          </w:tcPr>
          <w:p>
            <w:r>
              <w:t>Error %</w:t>
            </w:r>
          </w:p>
        </w:tc>
        <w:tc>
          <w:tcPr>
            <w:tcW w:type="dxa" w:w="960"/>
          </w:tcPr>
          <w:p>
            <w:r>
              <w:t>Bandwidth</w:t>
            </w:r>
          </w:p>
        </w:tc>
        <w:tc>
          <w:tcPr>
            <w:tcW w:type="dxa" w:w="960"/>
          </w:tcPr>
          <w:p>
            <w:r>
              <w:t>Uptime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</w:tr>
      <w:tr>
        <w:tc>
          <w:tcPr>
            <w:tcW w:type="dxa" w:w="960"/>
          </w:tcPr>
          <w:p>
            <w:r>
              <w:t>US-E</w:t>
            </w:r>
          </w:p>
        </w:tc>
        <w:tc>
          <w:tcPr>
            <w:tcW w:type="dxa" w:w="960"/>
          </w:tcPr>
          <w:p>
            <w:r>
              <w:t>US East (VA)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45,200</w:t>
            </w:r>
          </w:p>
        </w:tc>
        <w:tc>
          <w:tcPr>
            <w:tcW w:type="dxa" w:w="960"/>
          </w:tcPr>
          <w:p>
            <w:r>
              <w:t>18.4 ms</w:t>
            </w:r>
          </w:p>
        </w:tc>
        <w:tc>
          <w:tcPr>
            <w:tcW w:type="dxa" w:w="960"/>
          </w:tcPr>
          <w:p>
            <w:r>
              <w:t>0.02%</w:t>
            </w:r>
          </w:p>
        </w:tc>
        <w:tc>
          <w:tcPr>
            <w:tcW w:type="dxa" w:w="960"/>
          </w:tcPr>
          <w:p>
            <w:r>
              <w:t>1.4 TB</w:t>
            </w:r>
          </w:p>
        </w:tc>
        <w:tc>
          <w:tcPr>
            <w:tcW w:type="dxa" w:w="960"/>
          </w:tcPr>
          <w:p>
            <w:r>
              <w:t>99.98%</w:t>
            </w:r>
          </w:p>
        </w:tc>
        <w:tc>
          <w:tcPr>
            <w:tcW w:type="dxa" w:w="960"/>
          </w:tcPr>
          <w:p>
            <w:r>
              <w:t>98.2</w:t>
            </w:r>
          </w:p>
        </w:tc>
      </w:tr>
      <w:tr>
        <w:tc>
          <w:tcPr>
            <w:tcW w:type="dxa" w:w="960"/>
          </w:tcPr>
          <w:p>
            <w:r>
              <w:t>EU-C</w:t>
            </w:r>
          </w:p>
        </w:tc>
        <w:tc>
          <w:tcPr>
            <w:tcW w:type="dxa" w:w="960"/>
          </w:tcPr>
          <w:p>
            <w:r>
              <w:t>EU Central (DE)</w:t>
            </w:r>
          </w:p>
        </w:tc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38,100</w:t>
            </w:r>
          </w:p>
        </w:tc>
        <w:tc>
          <w:tcPr>
            <w:tcW w:type="dxa" w:w="960"/>
          </w:tcPr>
          <w:p>
            <w:r>
              <w:t>22.1 ms</w:t>
            </w:r>
          </w:p>
        </w:tc>
        <w:tc>
          <w:tcPr>
            <w:tcW w:type="dxa" w:w="960"/>
          </w:tcPr>
          <w:p>
            <w:r>
              <w:t>0.01%</w:t>
            </w:r>
          </w:p>
        </w:tc>
        <w:tc>
          <w:tcPr>
            <w:tcW w:type="dxa" w:w="960"/>
          </w:tcPr>
          <w:p>
            <w:r>
              <w:t>980 GB</w:t>
            </w:r>
          </w:p>
        </w:tc>
        <w:tc>
          <w:tcPr>
            <w:tcW w:type="dxa" w:w="960"/>
          </w:tcPr>
          <w:p>
            <w:r>
              <w:t>99.99%</w:t>
            </w:r>
          </w:p>
        </w:tc>
        <w:tc>
          <w:tcPr>
            <w:tcW w:type="dxa" w:w="960"/>
          </w:tcPr>
          <w:p>
            <w:r>
              <w:t>97.8</w:t>
            </w:r>
          </w:p>
        </w:tc>
      </w:tr>
      <w:tr>
        <w:tc>
          <w:tcPr>
            <w:tcW w:type="dxa" w:w="960"/>
          </w:tcPr>
          <w:p>
            <w:r>
              <w:t>AP-S</w:t>
            </w:r>
          </w:p>
        </w:tc>
        <w:tc>
          <w:tcPr>
            <w:tcW w:type="dxa" w:w="960"/>
          </w:tcPr>
          <w:p>
            <w:r>
              <w:t>AP South (SG)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24,500</w:t>
            </w:r>
          </w:p>
        </w:tc>
        <w:tc>
          <w:tcPr>
            <w:tcW w:type="dxa" w:w="960"/>
          </w:tcPr>
          <w:p>
            <w:r>
              <w:t>34.6 ms</w:t>
            </w:r>
          </w:p>
        </w:tc>
        <w:tc>
          <w:tcPr>
            <w:tcW w:type="dxa" w:w="960"/>
          </w:tcPr>
          <w:p>
            <w:r>
              <w:t>0.05%</w:t>
            </w:r>
          </w:p>
        </w:tc>
        <w:tc>
          <w:tcPr>
            <w:tcW w:type="dxa" w:w="960"/>
          </w:tcPr>
          <w:p>
            <w:r>
              <w:t>640 GB</w:t>
            </w:r>
          </w:p>
        </w:tc>
        <w:tc>
          <w:tcPr>
            <w:tcW w:type="dxa" w:w="960"/>
          </w:tcPr>
          <w:p>
            <w:r>
              <w:t>99.94%</w:t>
            </w:r>
          </w:p>
        </w:tc>
        <w:tc>
          <w:tcPr>
            <w:tcW w:type="dxa" w:w="960"/>
          </w:tcPr>
          <w:p>
            <w:r>
              <w:t>95.4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