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pStyle w:val="Title"/>
      </w:pPr>
      <w:r>
        <w:t>Document Structure and Typographic Elements</w:t>
      </w:r>
    </w:p>
    <w:p>
      <w:pPr>
        <w:pStyle w:val="Heading1"/>
      </w:pPr>
      <w:r>
        <w:t>1. Structural Overview</w:t>
      </w:r>
    </w:p>
    <w:p>
      <w:r>
        <w:t>This sample manuscript provides representative document formatting for offline conversion testing. It includes </w:t>
      </w:r>
      <w:r>
        <w:rPr>
          <w:b/>
        </w:rPr>
        <w:t>bold typographic emphasis</w:t>
      </w:r>
      <w:r>
        <w:t> alongside </w:t>
      </w:r>
      <w:r>
        <w:rPr>
          <w:i/>
        </w:rPr>
        <w:t>italicised text runs</w:t>
      </w:r>
      <w:r>
        <w:t> within standard body paragraphs.</w:t>
      </w:r>
    </w:p>
    <w:p>
      <w:pPr>
        <w:pStyle w:val="Heading2"/>
      </w:pPr>
      <w:r>
        <w:t>2. Multilingual Character Encoding</w:t>
      </w:r>
    </w:p>
    <w:p>
      <w:r>
        <w:t>Extended character sets and French diacritics are verified: déjà vu, fenêtre, élève, garçon, and the ligature in œuvrant.</w:t>
      </w:r>
    </w:p>
    <w:p>
      <w:pPr>
        <w:pStyle w:val="Heading2"/>
      </w:pPr>
      <w:r>
        <w:t>3. Structured Data and Formats</w:t>
      </w:r>
    </w:p>
    <w:p>
      <w:pPr>
        <w:pStyle w:val="ListBullet"/>
      </w:pPr>
      <w:r>
        <w:t>Section headings and paragraph styles</w:t>
      </w:r>
    </w:p>
    <w:p>
      <w:pPr>
        <w:pStyle w:val="ListBullet"/>
      </w:pPr>
      <w:r>
        <w:t>Tabular data with column headers</w:t>
      </w:r>
    </w:p>
    <w:p>
      <w:pPr>
        <w:pStyle w:val="ListBullet"/>
      </w:pPr>
      <w:r>
        <w:t>Inline mathematical formulations</w:t>
      </w:r>
    </w:p>
    <w:tbl>
      <w:tblPr>
        <w:tblW w:w="5000" w:type="pct"/>
      </w:tblPr>
      <w:tr>
        <w:tc>
          <w:p>
            <w:r>
              <w:rPr>
                <w:b/>
              </w:rPr>
              <w:t>Element</w:t>
            </w:r>
          </w:p>
        </w:tc>
        <w:tc>
          <w:p>
            <w:r>
              <w:rPr>
                <w:b/>
              </w:rPr>
              <w:t>Style</w:t>
            </w:r>
          </w:p>
        </w:tc>
        <w:tc>
          <w:p>
            <w:r>
              <w:rPr>
                <w:b/>
              </w:rPr>
              <w:t>Alignment</w:t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Bold 18pt</w:t>
            </w:r>
          </w:p>
        </w:tc>
        <w:tc>
          <w:p>
            <w:r>
              <w:t>Centered</w:t>
            </w:r>
          </w:p>
        </w:tc>
      </w:tr>
      <w:tr>
        <w:tc>
          <w:p>
            <w:r>
              <w:t>Heading</w:t>
            </w:r>
          </w:p>
        </w:tc>
        <w:tc>
          <w:p>
            <w:r>
              <w:t>Semibold 14pt</w:t>
            </w:r>
          </w:p>
        </w:tc>
        <w:tc>
          <w:p>
            <w:r>
              <w:t>Left</w:t>
            </w:r>
          </w:p>
        </w:tc>
      </w:tr>
      <w:tr>
        <w:tc>
          <w:p>
            <w:r>
              <w:t>Body Text</w:t>
            </w:r>
          </w:p>
        </w:tc>
        <w:tc>
          <w:p>
            <w:r>
              <w:t>Regular 11pt</w:t>
            </w:r>
          </w:p>
        </w:tc>
        <w:tc>
          <w:p>
            <w:r>
              <w:t>Justified</w:t>
            </w:r>
          </w:p>
        </w:tc>
      </w:tr>
    </w:tbl>
    <w:p>
      <w:pPr>
        <w:pStyle w:val="Heading2"/>
      </w:pPr>
      <w:r>
        <w:t>4. Mathematical Notation</w:t>
      </w:r>
    </w:p>
    <w:p>
      <w:r>
        <w:t>Standard inline equations convert to LaTeX math syntax: </w:t>
      </w:r>
      <m:oMath>
        <m:r>
          <w:rPr>
            <w:rFonts w:ascii="Cambria Math"/>
          </w:rPr>
          <m:t>E = mc</m:t>
        </m:r>
        <m:sSup>
          <m:sSupPr/>
          <m:e>
            <m:r>
              <w:rPr>
                <w:rFonts w:ascii="Cambria Math"/>
              </w:rPr>
              <m:t/>
            </m:r>
          </m:e>
          <m:sup>
            <m:r>
              <w:rPr>
                <w:rFonts w:ascii="Cambria Math"/>
              </w:rPr>
              <m:t>2</m:t>
            </m:r>
          </m:sup>
        </m:sSup>
      </m:oMath>
    </w:p>
  </w:body>
</w:document>
</file>