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2035" w:rsidRDefault="008A0EDB" w:rsidP="00402035">
      <w:pPr>
        <w:pStyle w:val="Title"/>
      </w:pPr>
      <w:r>
        <w:t>Survival Analysis o</w:t>
      </w:r>
      <w:r w:rsidR="00402035">
        <w:t>f</w:t>
      </w:r>
      <w:r>
        <w:t xml:space="preserve"> </w:t>
      </w:r>
      <w:r w:rsidR="00402035">
        <w:t>Lung Cancer Trial:</w:t>
      </w:r>
    </w:p>
    <w:p w:rsidR="00BF6C59" w:rsidRDefault="008A0EDB" w:rsidP="00301532">
      <w:pPr>
        <w:pStyle w:val="Title"/>
      </w:pPr>
      <w:r>
        <w:t xml:space="preserve">Veteran’s Administration </w:t>
      </w:r>
    </w:p>
    <w:p w:rsidR="008A0EDB" w:rsidRDefault="008A0EDB" w:rsidP="008A0EDB">
      <w:pPr>
        <w:pStyle w:val="Heading1"/>
      </w:pPr>
      <w:r>
        <w:t>Introduction</w:t>
      </w:r>
    </w:p>
    <w:p w:rsidR="006F32AF" w:rsidRDefault="008A0EDB" w:rsidP="006F32AF">
      <w:r w:rsidRPr="006F32AF">
        <w:t>A survival analysis was completed using the data from</w:t>
      </w:r>
      <w:r w:rsidR="006F32AF" w:rsidRPr="006F32AF">
        <w:t xml:space="preserve"> the</w:t>
      </w:r>
      <w:r w:rsidRPr="006F32AF">
        <w:t xml:space="preserve"> Lung cancer trial. The dataset </w:t>
      </w:r>
      <w:r w:rsidR="006F32AF" w:rsidRPr="006F32AF">
        <w:t>involved</w:t>
      </w:r>
      <w:r w:rsidRPr="006F32AF">
        <w:t xml:space="preserve"> 137 patients with advanced</w:t>
      </w:r>
      <w:r w:rsidR="006F32AF" w:rsidRPr="006F32AF">
        <w:t>,</w:t>
      </w:r>
      <w:r w:rsidRPr="006F32AF">
        <w:t xml:space="preserve"> inoperable lung cancer</w:t>
      </w:r>
      <w:r w:rsidR="00127293" w:rsidRPr="006F32AF">
        <w:t xml:space="preserve">. </w:t>
      </w:r>
      <w:r w:rsidR="006F32AF" w:rsidRPr="006F32AF">
        <w:t xml:space="preserve">Patients were assigned to either a chemotherapy treatment (standard treatment) or a combination of chemotherapy and a new test drug (test treatment). </w:t>
      </w:r>
    </w:p>
    <w:p w:rsidR="006F32AF" w:rsidRPr="006F32AF" w:rsidRDefault="006F32AF" w:rsidP="006F32AF"/>
    <w:p w:rsidR="008822E0" w:rsidRDefault="008822E0" w:rsidP="006F32AF">
      <w:r w:rsidRPr="006F32AF">
        <w:t xml:space="preserve">Patients were followed until they passed away (status dead), or may have dropped out of </w:t>
      </w:r>
      <w:r w:rsidR="006F32AF" w:rsidRPr="006F32AF">
        <w:t>the study</w:t>
      </w:r>
      <w:r w:rsidRPr="006F32AF">
        <w:t xml:space="preserve"> (status censored). Patients who were alive at </w:t>
      </w:r>
      <w:r w:rsidR="006F32AF" w:rsidRPr="006F32AF">
        <w:t>the end</w:t>
      </w:r>
      <w:r w:rsidRPr="006F32AF">
        <w:t xml:space="preserve"> of the study were </w:t>
      </w:r>
      <w:r w:rsidR="006F32AF" w:rsidRPr="006F32AF">
        <w:t>also considered censored.</w:t>
      </w:r>
      <w:r w:rsidRPr="006F32AF">
        <w:t xml:space="preserve"> </w:t>
      </w:r>
      <w:r w:rsidR="006F32AF" w:rsidRPr="006F32AF">
        <w:t xml:space="preserve">The objective was to compare survival outcomes between treatment </w:t>
      </w:r>
      <w:r w:rsidR="00433273">
        <w:rPr>
          <w:kern w:val="0"/>
          <w14:ligatures w14:val="none"/>
        </w:rPr>
        <w:t>groups</w:t>
      </w:r>
      <w:r w:rsidR="00433273">
        <w:rPr>
          <w:kern w:val="0"/>
          <w14:ligatures w14:val="none"/>
        </w:rPr>
        <w:t>,</w:t>
      </w:r>
      <w:r w:rsidR="006F32AF" w:rsidRPr="006F32AF">
        <w:t xml:space="preserve"> and to examine how age and months from diagnosis affected patient survival.</w:t>
      </w:r>
    </w:p>
    <w:p w:rsidR="006F32AF" w:rsidRDefault="006F32AF" w:rsidP="006F32AF">
      <w:pPr>
        <w:pStyle w:val="Heading1"/>
      </w:pPr>
      <w:r>
        <w:t>Methodology</w:t>
      </w:r>
    </w:p>
    <w:p w:rsidR="006F32AF" w:rsidRDefault="006F32AF" w:rsidP="006F32AF">
      <w:pPr>
        <w:autoSpaceDE w:val="0"/>
        <w:autoSpaceDN w:val="0"/>
        <w:adjustRightInd w:val="0"/>
        <w:spacing w:after="240"/>
      </w:pPr>
      <w:r>
        <w:t>The analysis utilized the following methods</w:t>
      </w:r>
      <w:r w:rsidR="003920F3">
        <w:t>:</w:t>
      </w:r>
    </w:p>
    <w:p w:rsidR="008107D9" w:rsidRDefault="006F32AF" w:rsidP="008107D9">
      <w:pPr>
        <w:pStyle w:val="ListParagraph"/>
        <w:numPr>
          <w:ilvl w:val="0"/>
          <w:numId w:val="11"/>
        </w:numPr>
        <w:autoSpaceDE w:val="0"/>
        <w:autoSpaceDN w:val="0"/>
        <w:adjustRightInd w:val="0"/>
        <w:spacing w:after="240"/>
      </w:pPr>
      <w:r w:rsidRPr="006F32AF">
        <w:t>Kaplan-Meier curves</w:t>
      </w:r>
      <w:r w:rsidR="008835C7">
        <w:t xml:space="preserve"> -</w:t>
      </w:r>
      <w:r w:rsidRPr="006F32AF">
        <w:t xml:space="preserve"> estimate survival probabilities over time and compare treatment groups.</w:t>
      </w:r>
    </w:p>
    <w:p w:rsidR="006F32AF" w:rsidRDefault="00F61FD2" w:rsidP="008107D9">
      <w:pPr>
        <w:pStyle w:val="ListParagraph"/>
        <w:numPr>
          <w:ilvl w:val="0"/>
          <w:numId w:val="11"/>
        </w:numPr>
        <w:autoSpaceDE w:val="0"/>
        <w:autoSpaceDN w:val="0"/>
        <w:adjustRightInd w:val="0"/>
        <w:spacing w:after="240"/>
      </w:pPr>
      <w:r>
        <w:rPr>
          <w:kern w:val="0"/>
          <w14:ligatures w14:val="none"/>
        </w:rPr>
        <w:t>Semi-parametric</w:t>
      </w:r>
      <w:r w:rsidR="00131A28">
        <w:t xml:space="preserve"> models or </w:t>
      </w:r>
      <w:r w:rsidR="006F32AF" w:rsidRPr="006F32AF">
        <w:t xml:space="preserve">Cox proportional hazards models </w:t>
      </w:r>
      <w:r w:rsidR="008835C7">
        <w:t xml:space="preserve">- </w:t>
      </w:r>
      <w:r w:rsidR="008835C7">
        <w:rPr>
          <w:kern w:val="0"/>
          <w14:ligatures w14:val="none"/>
        </w:rPr>
        <w:t>explore</w:t>
      </w:r>
      <w:r w:rsidR="006F32AF" w:rsidRPr="006F32AF">
        <w:t xml:space="preserve"> the relationship between covariates and survival.</w:t>
      </w:r>
      <w:r w:rsidR="008107D9">
        <w:t xml:space="preserve"> Covariates in this study included lung cancer cell type, prior months from diagnosis before participating in </w:t>
      </w:r>
      <w:r>
        <w:rPr>
          <w:kern w:val="0"/>
          <w14:ligatures w14:val="none"/>
        </w:rPr>
        <w:t>the study,</w:t>
      </w:r>
      <w:r w:rsidR="008107D9">
        <w:t xml:space="preserve"> age, </w:t>
      </w:r>
      <w:r w:rsidR="008835C7">
        <w:rPr>
          <w:kern w:val="0"/>
          <w14:ligatures w14:val="none"/>
        </w:rPr>
        <w:t>and prior</w:t>
      </w:r>
      <w:r w:rsidR="008107D9">
        <w:t xml:space="preserve"> chemotherapy received or not. </w:t>
      </w:r>
    </w:p>
    <w:p w:rsidR="00AF3B91" w:rsidRPr="003C3F4A" w:rsidRDefault="006F32AF" w:rsidP="003C3F4A">
      <w:pPr>
        <w:pStyle w:val="ListParagraph"/>
        <w:numPr>
          <w:ilvl w:val="0"/>
          <w:numId w:val="11"/>
        </w:numPr>
        <w:autoSpaceDE w:val="0"/>
        <w:autoSpaceDN w:val="0"/>
        <w:adjustRightInd w:val="0"/>
        <w:spacing w:after="240"/>
      </w:pPr>
      <w:r w:rsidRPr="006F32AF">
        <w:t>Parametric models </w:t>
      </w:r>
      <w:r w:rsidR="008835C7">
        <w:t xml:space="preserve">- </w:t>
      </w:r>
      <w:r w:rsidRPr="006F32AF">
        <w:t>estimate survival under distributional assumptions and compare model fits.</w:t>
      </w:r>
      <w:r w:rsidR="008107D9">
        <w:t xml:space="preserve"> These models can account for </w:t>
      </w:r>
      <w:r w:rsidR="008107D9">
        <w:rPr>
          <w:kern w:val="0"/>
          <w14:ligatures w14:val="none"/>
        </w:rPr>
        <w:t xml:space="preserve">covariates as well. </w:t>
      </w:r>
    </w:p>
    <w:p w:rsidR="002F3CF1" w:rsidRDefault="00AF3B91" w:rsidP="00AF3B91">
      <w:pPr>
        <w:pStyle w:val="Heading1"/>
      </w:pPr>
      <w:r>
        <w:t>Analysis</w:t>
      </w:r>
    </w:p>
    <w:p w:rsidR="00AF3B91" w:rsidRDefault="00AF3B91" w:rsidP="00AF3B91">
      <w:r>
        <w:t xml:space="preserve">Kaplan Meier curves were used to compare survival probabilities between patients receiving standard vs. test treatment. </w:t>
      </w:r>
    </w:p>
    <w:p w:rsidR="00AF3B91" w:rsidRDefault="00AF3B91" w:rsidP="00AF3B91"/>
    <w:p w:rsidR="00AF3B91" w:rsidRDefault="003C3F4A" w:rsidP="00AF3B91">
      <w:r w:rsidRPr="003C3F4A">
        <w:rPr>
          <w:noProof/>
        </w:rPr>
        <w:lastRenderedPageBreak/>
        <w:drawing>
          <wp:inline distT="0" distB="0" distL="0" distR="0" wp14:anchorId="3EE001D6" wp14:editId="7E166802">
            <wp:extent cx="5943600" cy="3928745"/>
            <wp:effectExtent l="0" t="0" r="0" b="0"/>
            <wp:docPr id="150943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37906" name=""/>
                    <pic:cNvPicPr/>
                  </pic:nvPicPr>
                  <pic:blipFill>
                    <a:blip r:embed="rId5"/>
                    <a:stretch>
                      <a:fillRect/>
                    </a:stretch>
                  </pic:blipFill>
                  <pic:spPr>
                    <a:xfrm>
                      <a:off x="0" y="0"/>
                      <a:ext cx="5943600" cy="3928745"/>
                    </a:xfrm>
                    <a:prstGeom prst="rect">
                      <a:avLst/>
                    </a:prstGeom>
                  </pic:spPr>
                </pic:pic>
              </a:graphicData>
            </a:graphic>
          </wp:inline>
        </w:drawing>
      </w:r>
    </w:p>
    <w:p w:rsidR="00915130" w:rsidRPr="00AF3B91" w:rsidRDefault="00915130" w:rsidP="00AF3B91"/>
    <w:p w:rsidR="005030F2" w:rsidRPr="00294FED" w:rsidRDefault="003C3F4A" w:rsidP="00EA7F44">
      <w:pPr>
        <w:autoSpaceDE w:val="0"/>
        <w:autoSpaceDN w:val="0"/>
        <w:adjustRightInd w:val="0"/>
        <w:spacing w:after="240"/>
        <w:rPr>
          <w:b/>
          <w:bCs/>
        </w:rPr>
      </w:pPr>
      <w:r>
        <w:t>Chart 1</w:t>
      </w:r>
      <w:r w:rsidR="00AF3B91">
        <w:t xml:space="preserve"> show</w:t>
      </w:r>
      <w:r w:rsidR="005030F2">
        <w:t>s</w:t>
      </w:r>
      <w:r w:rsidR="00AF3B91">
        <w:t xml:space="preserve"> </w:t>
      </w:r>
      <w:r w:rsidR="005030F2" w:rsidRPr="005030F2">
        <w:t>survival</w:t>
      </w:r>
      <w:r w:rsidR="00AF3B91">
        <w:t xml:space="preserve"> probabilities for each treatment type. The dashed lines are 95% confidence intervals</w:t>
      </w:r>
      <w:r w:rsidR="005030F2">
        <w:t xml:space="preserve">. It may seem there may be differences in survival for standard vs. test treatment </w:t>
      </w:r>
      <w:r w:rsidR="00294FED">
        <w:rPr>
          <w:kern w:val="0"/>
          <w14:ligatures w14:val="none"/>
        </w:rPr>
        <w:t>however,</w:t>
      </w:r>
      <w:r w:rsidR="00294FED">
        <w:t xml:space="preserve"> the differences were not statistically significant as indicated by the overlapping confidence intervals.</w:t>
      </w:r>
    </w:p>
    <w:p w:rsidR="00294FED" w:rsidRDefault="003C3F4A" w:rsidP="00EA7F44">
      <w:pPr>
        <w:autoSpaceDE w:val="0"/>
        <w:autoSpaceDN w:val="0"/>
        <w:adjustRightInd w:val="0"/>
        <w:spacing w:after="240"/>
      </w:pPr>
      <w:r>
        <w:t xml:space="preserve">The curves did show </w:t>
      </w:r>
      <w:r>
        <w:rPr>
          <w:kern w:val="0"/>
          <w14:ligatures w14:val="none"/>
        </w:rPr>
        <w:t>a higher</w:t>
      </w:r>
      <w:r>
        <w:t xml:space="preserve"> survival probability in </w:t>
      </w:r>
      <w:r>
        <w:rPr>
          <w:kern w:val="0"/>
          <w14:ligatures w14:val="none"/>
        </w:rPr>
        <w:t>the standard</w:t>
      </w:r>
      <w:r>
        <w:t xml:space="preserve"> treatment group vs. </w:t>
      </w:r>
      <w:r>
        <w:rPr>
          <w:kern w:val="0"/>
          <w14:ligatures w14:val="none"/>
        </w:rPr>
        <w:t>the test</w:t>
      </w:r>
      <w:r>
        <w:t xml:space="preserve"> treatment group during the initial days. As the days progressed, the test treatment group seemed to have a higher survival probability compared to the </w:t>
      </w:r>
      <w:r w:rsidR="00294FED">
        <w:t>standard</w:t>
      </w:r>
      <w:r>
        <w:t xml:space="preserve"> treatment groups. This seems to indicate that </w:t>
      </w:r>
      <w:r>
        <w:rPr>
          <w:kern w:val="0"/>
          <w14:ligatures w14:val="none"/>
        </w:rPr>
        <w:t>the effects</w:t>
      </w:r>
      <w:r>
        <w:t xml:space="preserve"> of </w:t>
      </w:r>
      <w:r>
        <w:rPr>
          <w:kern w:val="0"/>
          <w14:ligatures w14:val="none"/>
        </w:rPr>
        <w:t>the new</w:t>
      </w:r>
      <w:r>
        <w:t xml:space="preserve"> test drug may be low in the initial days and the effect increases as days progress.</w:t>
      </w:r>
      <w:r w:rsidR="0009323D">
        <w:t xml:space="preserve"> </w:t>
      </w:r>
    </w:p>
    <w:p w:rsidR="00EA7F44" w:rsidRDefault="005030F2" w:rsidP="00EA7F44">
      <w:pPr>
        <w:autoSpaceDE w:val="0"/>
        <w:autoSpaceDN w:val="0"/>
        <w:adjustRightInd w:val="0"/>
        <w:spacing w:after="240"/>
      </w:pPr>
      <w:r>
        <w:t xml:space="preserve">Since patients treated with prior chemotherapy may have a better </w:t>
      </w:r>
      <w:r w:rsidR="003C3F4A">
        <w:rPr>
          <w:kern w:val="0"/>
          <w14:ligatures w14:val="none"/>
        </w:rPr>
        <w:t>prognosis</w:t>
      </w:r>
      <w:r>
        <w:t xml:space="preserve"> than patients not treated with prior </w:t>
      </w:r>
      <w:r w:rsidR="003C3F4A">
        <w:rPr>
          <w:kern w:val="0"/>
          <w14:ligatures w14:val="none"/>
        </w:rPr>
        <w:t>chemotherapy, separate Kaplan Meier curves were also created for each of those groups.</w:t>
      </w:r>
      <w:r>
        <w:t xml:space="preserve"> </w:t>
      </w:r>
      <w:r w:rsidR="00915130">
        <w:t>See</w:t>
      </w:r>
      <w:r w:rsidR="003C3F4A">
        <w:t xml:space="preserve"> Chart 2</w:t>
      </w:r>
      <w:r w:rsidR="00915130">
        <w:t xml:space="preserve">. The curves seemed to overlap across treatment and prior chemotherapy groups. Confidence intervals </w:t>
      </w:r>
      <w:r w:rsidR="00915130">
        <w:rPr>
          <w:kern w:val="0"/>
          <w14:ligatures w14:val="none"/>
        </w:rPr>
        <w:t>were not shown</w:t>
      </w:r>
      <w:r w:rsidR="00915130">
        <w:t xml:space="preserve"> in </w:t>
      </w:r>
      <w:r w:rsidR="003C3F4A">
        <w:t>Chart 2</w:t>
      </w:r>
      <w:r w:rsidR="00915130">
        <w:t xml:space="preserve"> to reduce clutter. </w:t>
      </w:r>
    </w:p>
    <w:p w:rsidR="005030F2" w:rsidRDefault="003C3F4A" w:rsidP="00EA7F44">
      <w:pPr>
        <w:autoSpaceDE w:val="0"/>
        <w:autoSpaceDN w:val="0"/>
        <w:adjustRightInd w:val="0"/>
        <w:spacing w:after="240"/>
      </w:pPr>
      <w:r w:rsidRPr="003C3F4A">
        <w:rPr>
          <w:noProof/>
        </w:rPr>
        <w:lastRenderedPageBreak/>
        <w:drawing>
          <wp:inline distT="0" distB="0" distL="0" distR="0" wp14:anchorId="27128B46" wp14:editId="666E8815">
            <wp:extent cx="5943600" cy="3838575"/>
            <wp:effectExtent l="0" t="0" r="0" b="0"/>
            <wp:docPr id="64619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92879" name=""/>
                    <pic:cNvPicPr/>
                  </pic:nvPicPr>
                  <pic:blipFill>
                    <a:blip r:embed="rId6"/>
                    <a:stretch>
                      <a:fillRect/>
                    </a:stretch>
                  </pic:blipFill>
                  <pic:spPr>
                    <a:xfrm>
                      <a:off x="0" y="0"/>
                      <a:ext cx="5943600" cy="3838575"/>
                    </a:xfrm>
                    <a:prstGeom prst="rect">
                      <a:avLst/>
                    </a:prstGeom>
                  </pic:spPr>
                </pic:pic>
              </a:graphicData>
            </a:graphic>
          </wp:inline>
        </w:drawing>
      </w:r>
    </w:p>
    <w:p w:rsidR="005030F2" w:rsidRDefault="00697C33" w:rsidP="00EA7F44">
      <w:pPr>
        <w:autoSpaceDE w:val="0"/>
        <w:autoSpaceDN w:val="0"/>
        <w:adjustRightInd w:val="0"/>
        <w:spacing w:after="240"/>
      </w:pPr>
      <w:r>
        <w:t>Chart 2</w:t>
      </w:r>
      <w:r w:rsidR="00915130">
        <w:t xml:space="preserve"> was</w:t>
      </w:r>
      <w:r>
        <w:t xml:space="preserve"> further</w:t>
      </w:r>
      <w:r w:rsidR="00915130">
        <w:t xml:space="preserve"> separated </w:t>
      </w:r>
      <w:r w:rsidR="00294FED">
        <w:t xml:space="preserve">into different charts </w:t>
      </w:r>
      <w:r w:rsidR="0034407D">
        <w:t xml:space="preserve">to </w:t>
      </w:r>
      <w:r w:rsidR="00294FED">
        <w:t>show only patients with no prior chemotherapy or with prior chemotherapy</w:t>
      </w:r>
      <w:r w:rsidR="0034407D">
        <w:t xml:space="preserve">. </w:t>
      </w:r>
      <w:r w:rsidR="00294FED">
        <w:t xml:space="preserve">This helps to reduce clutter and provide a clear visualization. </w:t>
      </w:r>
      <w:r w:rsidR="00915130">
        <w:t xml:space="preserve">See </w:t>
      </w:r>
      <w:r>
        <w:t xml:space="preserve">Charts 3 and 4. </w:t>
      </w:r>
      <w:r w:rsidR="00915130">
        <w:t xml:space="preserve">Confidence intervals were included in these plots. </w:t>
      </w:r>
      <w:r w:rsidR="00B839EE">
        <w:t>C</w:t>
      </w:r>
      <w:r w:rsidR="00915130">
        <w:t>onfidence interval</w:t>
      </w:r>
      <w:r>
        <w:t>s</w:t>
      </w:r>
      <w:r w:rsidR="00915130">
        <w:t xml:space="preserve"> seemed to overlap, indicating no statistical significance between the standard vs. test treatment.  </w:t>
      </w:r>
    </w:p>
    <w:tbl>
      <w:tblPr>
        <w:tblStyle w:val="TableGrid"/>
        <w:tblW w:w="9719" w:type="dxa"/>
        <w:tblLook w:val="04A0" w:firstRow="1" w:lastRow="0" w:firstColumn="1" w:lastColumn="0" w:noHBand="0" w:noVBand="1"/>
      </w:tblPr>
      <w:tblGrid>
        <w:gridCol w:w="4945"/>
        <w:gridCol w:w="4774"/>
      </w:tblGrid>
      <w:tr w:rsidR="00697C33" w:rsidTr="00697C33">
        <w:trPr>
          <w:trHeight w:val="3608"/>
        </w:trPr>
        <w:tc>
          <w:tcPr>
            <w:tcW w:w="4945" w:type="dxa"/>
          </w:tcPr>
          <w:p w:rsidR="00697C33" w:rsidRDefault="00697C33" w:rsidP="00C17A68">
            <w:r w:rsidRPr="00697C33">
              <w:rPr>
                <w:noProof/>
              </w:rPr>
              <w:drawing>
                <wp:inline distT="0" distB="0" distL="0" distR="0" wp14:anchorId="1A1375A0" wp14:editId="779432F2">
                  <wp:extent cx="2996697" cy="2154501"/>
                  <wp:effectExtent l="0" t="0" r="635" b="5080"/>
                  <wp:docPr id="156326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61780" name=""/>
                          <pic:cNvPicPr/>
                        </pic:nvPicPr>
                        <pic:blipFill>
                          <a:blip r:embed="rId7"/>
                          <a:stretch>
                            <a:fillRect/>
                          </a:stretch>
                        </pic:blipFill>
                        <pic:spPr>
                          <a:xfrm>
                            <a:off x="0" y="0"/>
                            <a:ext cx="2996697" cy="2154501"/>
                          </a:xfrm>
                          <a:prstGeom prst="rect">
                            <a:avLst/>
                          </a:prstGeom>
                        </pic:spPr>
                      </pic:pic>
                    </a:graphicData>
                  </a:graphic>
                </wp:inline>
              </w:drawing>
            </w:r>
          </w:p>
        </w:tc>
        <w:tc>
          <w:tcPr>
            <w:tcW w:w="4774" w:type="dxa"/>
          </w:tcPr>
          <w:p w:rsidR="00697C33" w:rsidRPr="00697C33" w:rsidRDefault="00697C33" w:rsidP="00C17A68">
            <w:r w:rsidRPr="00697C33">
              <w:rPr>
                <w:noProof/>
              </w:rPr>
              <w:drawing>
                <wp:inline distT="0" distB="0" distL="0" distR="0" wp14:anchorId="0FDE3E3F" wp14:editId="6B0ED971">
                  <wp:extent cx="2851842" cy="2154120"/>
                  <wp:effectExtent l="0" t="0" r="5715" b="5080"/>
                  <wp:docPr id="41139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97901" name=""/>
                          <pic:cNvPicPr/>
                        </pic:nvPicPr>
                        <pic:blipFill>
                          <a:blip r:embed="rId8"/>
                          <a:stretch>
                            <a:fillRect/>
                          </a:stretch>
                        </pic:blipFill>
                        <pic:spPr>
                          <a:xfrm>
                            <a:off x="0" y="0"/>
                            <a:ext cx="2891482" cy="2184062"/>
                          </a:xfrm>
                          <a:prstGeom prst="rect">
                            <a:avLst/>
                          </a:prstGeom>
                        </pic:spPr>
                      </pic:pic>
                    </a:graphicData>
                  </a:graphic>
                </wp:inline>
              </w:drawing>
            </w:r>
          </w:p>
        </w:tc>
      </w:tr>
    </w:tbl>
    <w:p w:rsidR="00915130" w:rsidRDefault="00915130"/>
    <w:p w:rsidR="00B839EE" w:rsidRDefault="00A5062C" w:rsidP="00B839EE">
      <w:r>
        <w:t xml:space="preserve">The treatments may have different survival results depending on the lung cancer cell type. </w:t>
      </w:r>
      <w:r w:rsidR="00915130">
        <w:t>The dat</w:t>
      </w:r>
      <w:r>
        <w:t xml:space="preserve">aset may further be divided into patients with prior chemotherapy, and the cell type of lung cancer, however number of patients in each group was low. Creating Kaplan Meier curves from </w:t>
      </w:r>
      <w:r>
        <w:lastRenderedPageBreak/>
        <w:t xml:space="preserve">a low number of patients would make the results unreliable, hence these curves were not created. </w:t>
      </w:r>
    </w:p>
    <w:p w:rsidR="00B839EE" w:rsidRDefault="00B839EE" w:rsidP="00B839EE"/>
    <w:p w:rsidR="00A5062C" w:rsidRDefault="00A5062C" w:rsidP="00B839EE">
      <w:r>
        <w:t xml:space="preserve">The </w:t>
      </w:r>
      <w:r>
        <w:rPr>
          <w:kern w:val="0"/>
          <w14:ligatures w14:val="none"/>
        </w:rPr>
        <w:t>Kaplan-Meier</w:t>
      </w:r>
      <w:r>
        <w:t xml:space="preserve"> curves were used to </w:t>
      </w:r>
      <w:r w:rsidR="00B839EE">
        <w:t>compare</w:t>
      </w:r>
      <w:r>
        <w:t xml:space="preserve"> the survival probabilit</w:t>
      </w:r>
      <w:r w:rsidR="00B839EE">
        <w:t>ies</w:t>
      </w:r>
      <w:r>
        <w:t xml:space="preserve"> of a patient at 6 months (183 days) and 1 year (365 days</w:t>
      </w:r>
      <w:r w:rsidR="00131A28">
        <w:t>)</w:t>
      </w:r>
      <w:r>
        <w:t>.</w:t>
      </w:r>
      <w:r w:rsidR="00B839EE">
        <w:t xml:space="preserve"> The differences were not statistically significant. </w:t>
      </w:r>
    </w:p>
    <w:p w:rsidR="00B839EE" w:rsidRDefault="00B839EE" w:rsidP="00B839EE"/>
    <w:tbl>
      <w:tblPr>
        <w:tblStyle w:val="PlainTable3"/>
        <w:tblW w:w="5000" w:type="pct"/>
        <w:tblLook w:val="04A0" w:firstRow="1" w:lastRow="0" w:firstColumn="1" w:lastColumn="0" w:noHBand="0" w:noVBand="1"/>
      </w:tblPr>
      <w:tblGrid>
        <w:gridCol w:w="4861"/>
        <w:gridCol w:w="2432"/>
        <w:gridCol w:w="2067"/>
      </w:tblGrid>
      <w:tr w:rsidR="00A5062C" w:rsidTr="00A506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96" w:type="pct"/>
          </w:tcPr>
          <w:p w:rsidR="00A5062C" w:rsidRDefault="00A5062C" w:rsidP="00C17A68"/>
        </w:tc>
        <w:tc>
          <w:tcPr>
            <w:tcW w:w="1299" w:type="pct"/>
          </w:tcPr>
          <w:p w:rsidR="00A5062C" w:rsidRDefault="00A5062C" w:rsidP="00C17A68">
            <w:pPr>
              <w:cnfStyle w:val="100000000000" w:firstRow="1" w:lastRow="0" w:firstColumn="0" w:lastColumn="0" w:oddVBand="0" w:evenVBand="0" w:oddHBand="0" w:evenHBand="0" w:firstRowFirstColumn="0" w:firstRowLastColumn="0" w:lastRowFirstColumn="0" w:lastRowLastColumn="0"/>
            </w:pPr>
            <w:r>
              <w:t>183 days</w:t>
            </w:r>
          </w:p>
        </w:tc>
        <w:tc>
          <w:tcPr>
            <w:tcW w:w="1104" w:type="pct"/>
          </w:tcPr>
          <w:p w:rsidR="00A5062C" w:rsidRDefault="00A5062C" w:rsidP="00C17A68">
            <w:pPr>
              <w:cnfStyle w:val="100000000000" w:firstRow="1" w:lastRow="0" w:firstColumn="0" w:lastColumn="0" w:oddVBand="0" w:evenVBand="0" w:oddHBand="0" w:evenHBand="0" w:firstRowFirstColumn="0" w:firstRowLastColumn="0" w:lastRowFirstColumn="0" w:lastRowLastColumn="0"/>
            </w:pPr>
            <w:r>
              <w:t>365 days</w:t>
            </w:r>
          </w:p>
        </w:tc>
      </w:tr>
      <w:tr w:rsidR="00A5062C" w:rsidTr="00A50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6" w:type="pct"/>
          </w:tcPr>
          <w:p w:rsidR="00A5062C" w:rsidRDefault="00A5062C" w:rsidP="00C17A68">
            <w:r>
              <w:t>Standard treatment all patients</w:t>
            </w:r>
          </w:p>
        </w:tc>
        <w:tc>
          <w:tcPr>
            <w:tcW w:w="1299" w:type="pct"/>
          </w:tcPr>
          <w:p w:rsidR="00A5062C" w:rsidRDefault="00B839EE" w:rsidP="00C17A68">
            <w:pPr>
              <w:cnfStyle w:val="000000100000" w:firstRow="0" w:lastRow="0" w:firstColumn="0" w:lastColumn="0" w:oddVBand="0" w:evenVBand="0" w:oddHBand="1" w:evenHBand="0" w:firstRowFirstColumn="0" w:firstRowLastColumn="0" w:lastRowFirstColumn="0" w:lastRowLastColumn="0"/>
            </w:pPr>
            <w:r>
              <w:t>21.2%</w:t>
            </w:r>
          </w:p>
        </w:tc>
        <w:tc>
          <w:tcPr>
            <w:tcW w:w="1104" w:type="pct"/>
          </w:tcPr>
          <w:p w:rsidR="00A5062C" w:rsidRDefault="00B839EE" w:rsidP="00C17A68">
            <w:pPr>
              <w:cnfStyle w:val="000000100000" w:firstRow="0" w:lastRow="0" w:firstColumn="0" w:lastColumn="0" w:oddVBand="0" w:evenVBand="0" w:oddHBand="1" w:evenHBand="0" w:firstRowFirstColumn="0" w:firstRowLastColumn="0" w:lastRowFirstColumn="0" w:lastRowLastColumn="0"/>
            </w:pPr>
            <w:r>
              <w:t>7.1%</w:t>
            </w:r>
          </w:p>
        </w:tc>
      </w:tr>
      <w:tr w:rsidR="00A5062C" w:rsidTr="00A5062C">
        <w:tc>
          <w:tcPr>
            <w:cnfStyle w:val="001000000000" w:firstRow="0" w:lastRow="0" w:firstColumn="1" w:lastColumn="0" w:oddVBand="0" w:evenVBand="0" w:oddHBand="0" w:evenHBand="0" w:firstRowFirstColumn="0" w:firstRowLastColumn="0" w:lastRowFirstColumn="0" w:lastRowLastColumn="0"/>
            <w:tcW w:w="2596" w:type="pct"/>
          </w:tcPr>
          <w:p w:rsidR="00A5062C" w:rsidRDefault="00A5062C" w:rsidP="00C17A68">
            <w:r>
              <w:t>Test treatment all patients</w:t>
            </w:r>
          </w:p>
        </w:tc>
        <w:tc>
          <w:tcPr>
            <w:tcW w:w="1299" w:type="pct"/>
          </w:tcPr>
          <w:p w:rsidR="00A5062C" w:rsidRDefault="00B839EE" w:rsidP="00C17A68">
            <w:pPr>
              <w:cnfStyle w:val="000000000000" w:firstRow="0" w:lastRow="0" w:firstColumn="0" w:lastColumn="0" w:oddVBand="0" w:evenVBand="0" w:oddHBand="0" w:evenHBand="0" w:firstRowFirstColumn="0" w:firstRowLastColumn="0" w:lastRowFirstColumn="0" w:lastRowLastColumn="0"/>
            </w:pPr>
            <w:r>
              <w:t>23.3%</w:t>
            </w:r>
          </w:p>
        </w:tc>
        <w:tc>
          <w:tcPr>
            <w:tcW w:w="1104" w:type="pct"/>
          </w:tcPr>
          <w:p w:rsidR="00A5062C" w:rsidRDefault="00B839EE" w:rsidP="00C17A68">
            <w:pPr>
              <w:cnfStyle w:val="000000000000" w:firstRow="0" w:lastRow="0" w:firstColumn="0" w:lastColumn="0" w:oddVBand="0" w:evenVBand="0" w:oddHBand="0" w:evenHBand="0" w:firstRowFirstColumn="0" w:firstRowLastColumn="0" w:lastRowFirstColumn="0" w:lastRowLastColumn="0"/>
            </w:pPr>
            <w:r>
              <w:t>11.0%</w:t>
            </w:r>
          </w:p>
        </w:tc>
      </w:tr>
      <w:tr w:rsidR="00A5062C" w:rsidTr="00A50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6" w:type="pct"/>
          </w:tcPr>
          <w:p w:rsidR="00A5062C" w:rsidRDefault="00A5062C" w:rsidP="00C17A68">
            <w:r>
              <w:t>Standard treatment in patients with NO prior chemotherapy</w:t>
            </w:r>
          </w:p>
        </w:tc>
        <w:tc>
          <w:tcPr>
            <w:tcW w:w="1299" w:type="pct"/>
          </w:tcPr>
          <w:p w:rsidR="00A5062C" w:rsidRDefault="00B839EE" w:rsidP="00C17A68">
            <w:pPr>
              <w:cnfStyle w:val="000000100000" w:firstRow="0" w:lastRow="0" w:firstColumn="0" w:lastColumn="0" w:oddVBand="0" w:evenVBand="0" w:oddHBand="1" w:evenHBand="0" w:firstRowFirstColumn="0" w:firstRowLastColumn="0" w:lastRowFirstColumn="0" w:lastRowLastColumn="0"/>
            </w:pPr>
            <w:r>
              <w:t>21.51%</w:t>
            </w:r>
          </w:p>
        </w:tc>
        <w:tc>
          <w:tcPr>
            <w:tcW w:w="1104" w:type="pct"/>
          </w:tcPr>
          <w:p w:rsidR="00A5062C" w:rsidRDefault="00B839EE" w:rsidP="00C17A68">
            <w:pPr>
              <w:cnfStyle w:val="000000100000" w:firstRow="0" w:lastRow="0" w:firstColumn="0" w:lastColumn="0" w:oddVBand="0" w:evenVBand="0" w:oddHBand="1" w:evenHBand="0" w:firstRowFirstColumn="0" w:firstRowLastColumn="0" w:lastRowFirstColumn="0" w:lastRowLastColumn="0"/>
            </w:pPr>
            <w:r>
              <w:t>8.07%</w:t>
            </w:r>
          </w:p>
        </w:tc>
      </w:tr>
      <w:tr w:rsidR="00A5062C" w:rsidTr="00A5062C">
        <w:tc>
          <w:tcPr>
            <w:cnfStyle w:val="001000000000" w:firstRow="0" w:lastRow="0" w:firstColumn="1" w:lastColumn="0" w:oddVBand="0" w:evenVBand="0" w:oddHBand="0" w:evenHBand="0" w:firstRowFirstColumn="0" w:firstRowLastColumn="0" w:lastRowFirstColumn="0" w:lastRowLastColumn="0"/>
            <w:tcW w:w="2596" w:type="pct"/>
          </w:tcPr>
          <w:p w:rsidR="00A5062C" w:rsidRDefault="00A5062C" w:rsidP="00C17A68">
            <w:r>
              <w:t>Test treatment in patients with NO prior chemotherapy</w:t>
            </w:r>
          </w:p>
        </w:tc>
        <w:tc>
          <w:tcPr>
            <w:tcW w:w="1299" w:type="pct"/>
          </w:tcPr>
          <w:p w:rsidR="00A5062C" w:rsidRDefault="00B839EE" w:rsidP="00C17A68">
            <w:pPr>
              <w:cnfStyle w:val="000000000000" w:firstRow="0" w:lastRow="0" w:firstColumn="0" w:lastColumn="0" w:oddVBand="0" w:evenVBand="0" w:oddHBand="0" w:evenHBand="0" w:firstRowFirstColumn="0" w:firstRowLastColumn="0" w:lastRowFirstColumn="0" w:lastRowLastColumn="0"/>
            </w:pPr>
            <w:r>
              <w:t>18.31%</w:t>
            </w:r>
          </w:p>
        </w:tc>
        <w:tc>
          <w:tcPr>
            <w:tcW w:w="1104" w:type="pct"/>
          </w:tcPr>
          <w:p w:rsidR="00A5062C" w:rsidRDefault="00B839EE" w:rsidP="00C17A68">
            <w:pPr>
              <w:cnfStyle w:val="000000000000" w:firstRow="0" w:lastRow="0" w:firstColumn="0" w:lastColumn="0" w:oddVBand="0" w:evenVBand="0" w:oddHBand="0" w:evenHBand="0" w:firstRowFirstColumn="0" w:firstRowLastColumn="0" w:lastRowFirstColumn="0" w:lastRowLastColumn="0"/>
            </w:pPr>
            <w:r>
              <w:t>9.16%</w:t>
            </w:r>
          </w:p>
        </w:tc>
      </w:tr>
      <w:tr w:rsidR="00A5062C" w:rsidTr="00A50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6" w:type="pct"/>
          </w:tcPr>
          <w:p w:rsidR="00A5062C" w:rsidRDefault="00A5062C" w:rsidP="00C17A68">
            <w:r>
              <w:t>Standard treatment in patients with prior chemotherapy</w:t>
            </w:r>
          </w:p>
        </w:tc>
        <w:tc>
          <w:tcPr>
            <w:tcW w:w="1299" w:type="pct"/>
          </w:tcPr>
          <w:p w:rsidR="00A5062C" w:rsidRDefault="00B839EE" w:rsidP="00C17A68">
            <w:pPr>
              <w:cnfStyle w:val="000000100000" w:firstRow="0" w:lastRow="0" w:firstColumn="0" w:lastColumn="0" w:oddVBand="0" w:evenVBand="0" w:oddHBand="1" w:evenHBand="0" w:firstRowFirstColumn="0" w:firstRowLastColumn="0" w:lastRowFirstColumn="0" w:lastRowLastColumn="0"/>
            </w:pPr>
            <w:r>
              <w:t>20.63%</w:t>
            </w:r>
          </w:p>
        </w:tc>
        <w:tc>
          <w:tcPr>
            <w:tcW w:w="1104" w:type="pct"/>
          </w:tcPr>
          <w:p w:rsidR="00A5062C" w:rsidRDefault="00B839EE" w:rsidP="00C17A68">
            <w:pPr>
              <w:cnfStyle w:val="000000100000" w:firstRow="0" w:lastRow="0" w:firstColumn="0" w:lastColumn="0" w:oddVBand="0" w:evenVBand="0" w:oddHBand="1" w:evenHBand="0" w:firstRowFirstColumn="0" w:firstRowLastColumn="0" w:lastRowFirstColumn="0" w:lastRowLastColumn="0"/>
            </w:pPr>
            <w:r>
              <w:t>5.16%</w:t>
            </w:r>
          </w:p>
        </w:tc>
      </w:tr>
      <w:tr w:rsidR="00A5062C" w:rsidTr="00A5062C">
        <w:tc>
          <w:tcPr>
            <w:cnfStyle w:val="001000000000" w:firstRow="0" w:lastRow="0" w:firstColumn="1" w:lastColumn="0" w:oddVBand="0" w:evenVBand="0" w:oddHBand="0" w:evenHBand="0" w:firstRowFirstColumn="0" w:firstRowLastColumn="0" w:lastRowFirstColumn="0" w:lastRowLastColumn="0"/>
            <w:tcW w:w="2596" w:type="pct"/>
          </w:tcPr>
          <w:p w:rsidR="00A5062C" w:rsidRDefault="00A5062C" w:rsidP="00C17A68">
            <w:r>
              <w:t xml:space="preserve">Test treatment </w:t>
            </w:r>
            <w:r w:rsidR="00A50635">
              <w:t>IN</w:t>
            </w:r>
            <w:r>
              <w:t xml:space="preserve"> patients with prior chemotherapy</w:t>
            </w:r>
          </w:p>
        </w:tc>
        <w:tc>
          <w:tcPr>
            <w:tcW w:w="1299" w:type="pct"/>
          </w:tcPr>
          <w:p w:rsidR="00A5062C" w:rsidRDefault="00B839EE" w:rsidP="00C17A68">
            <w:pPr>
              <w:cnfStyle w:val="000000000000" w:firstRow="0" w:lastRow="0" w:firstColumn="0" w:lastColumn="0" w:oddVBand="0" w:evenVBand="0" w:oddHBand="0" w:evenHBand="0" w:firstRowFirstColumn="0" w:firstRowLastColumn="0" w:lastRowFirstColumn="0" w:lastRowLastColumn="0"/>
            </w:pPr>
            <w:r>
              <w:t>36.1%</w:t>
            </w:r>
          </w:p>
        </w:tc>
        <w:tc>
          <w:tcPr>
            <w:tcW w:w="1104" w:type="pct"/>
          </w:tcPr>
          <w:p w:rsidR="00A5062C" w:rsidRDefault="00B839EE" w:rsidP="00C17A68">
            <w:pPr>
              <w:cnfStyle w:val="000000000000" w:firstRow="0" w:lastRow="0" w:firstColumn="0" w:lastColumn="0" w:oddVBand="0" w:evenVBand="0" w:oddHBand="0" w:evenHBand="0" w:firstRowFirstColumn="0" w:firstRowLastColumn="0" w:lastRowFirstColumn="0" w:lastRowLastColumn="0"/>
            </w:pPr>
            <w:r>
              <w:t>16.0%</w:t>
            </w:r>
          </w:p>
        </w:tc>
      </w:tr>
    </w:tbl>
    <w:p w:rsidR="00131A28" w:rsidRDefault="00131A28" w:rsidP="00A50635">
      <w:pPr>
        <w:autoSpaceDE w:val="0"/>
        <w:autoSpaceDN w:val="0"/>
        <w:adjustRightInd w:val="0"/>
        <w:spacing w:after="240"/>
      </w:pPr>
    </w:p>
    <w:p w:rsidR="00C71D7D" w:rsidRDefault="00A50635" w:rsidP="00131A28">
      <w:r w:rsidRPr="00131A28">
        <w:t xml:space="preserve">The Kaplan-Meier curves were used to determine the mean </w:t>
      </w:r>
      <w:r w:rsidR="008862D0">
        <w:t>survival days</w:t>
      </w:r>
      <w:r w:rsidRPr="00131A28">
        <w:t xml:space="preserve"> </w:t>
      </w:r>
      <w:r w:rsidR="008862D0">
        <w:t>for</w:t>
      </w:r>
      <w:r w:rsidRPr="00131A28">
        <w:t xml:space="preserve"> </w:t>
      </w:r>
      <w:r w:rsidR="008862D0">
        <w:t>a patient in the</w:t>
      </w:r>
      <w:r w:rsidRPr="00131A28">
        <w:t xml:space="preserve"> standard vs. test treatment</w:t>
      </w:r>
      <w:r w:rsidR="008862D0">
        <w:t xml:space="preserve"> groups</w:t>
      </w:r>
      <w:r w:rsidRPr="00131A28">
        <w:t xml:space="preserve">. </w:t>
      </w:r>
      <w:r w:rsidR="008862D0">
        <w:t>Restricted Mean Survival Times</w:t>
      </w:r>
      <w:r w:rsidR="00131A28" w:rsidRPr="00131A28">
        <w:t xml:space="preserve"> (RMST) were calculated as the average survival time up to the longest observed time in each group.</w:t>
      </w:r>
    </w:p>
    <w:p w:rsidR="00131A28" w:rsidRDefault="00131A28" w:rsidP="00131A28"/>
    <w:tbl>
      <w:tblPr>
        <w:tblStyle w:val="GridTable7Colorful-Accent1"/>
        <w:tblW w:w="5000" w:type="pct"/>
        <w:tblLook w:val="04A0" w:firstRow="1" w:lastRow="0" w:firstColumn="1" w:lastColumn="0" w:noHBand="0" w:noVBand="1"/>
      </w:tblPr>
      <w:tblGrid>
        <w:gridCol w:w="4678"/>
        <w:gridCol w:w="2342"/>
        <w:gridCol w:w="2340"/>
      </w:tblGrid>
      <w:tr w:rsidR="00A50635" w:rsidTr="00C71D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99" w:type="pct"/>
          </w:tcPr>
          <w:p w:rsidR="00A50635" w:rsidRDefault="00A50635" w:rsidP="00C17A68"/>
        </w:tc>
        <w:tc>
          <w:tcPr>
            <w:tcW w:w="1251" w:type="pct"/>
          </w:tcPr>
          <w:p w:rsidR="00A50635" w:rsidRDefault="00A50635" w:rsidP="00C17A68">
            <w:pPr>
              <w:cnfStyle w:val="100000000000" w:firstRow="1" w:lastRow="0" w:firstColumn="0" w:lastColumn="0" w:oddVBand="0" w:evenVBand="0" w:oddHBand="0" w:evenHBand="0" w:firstRowFirstColumn="0" w:firstRowLastColumn="0" w:lastRowFirstColumn="0" w:lastRowLastColumn="0"/>
            </w:pPr>
            <w:r>
              <w:t>Mean - restricted</w:t>
            </w:r>
          </w:p>
        </w:tc>
        <w:tc>
          <w:tcPr>
            <w:tcW w:w="1250" w:type="pct"/>
          </w:tcPr>
          <w:p w:rsidR="00A50635" w:rsidRDefault="00A50635" w:rsidP="00C17A68">
            <w:pPr>
              <w:cnfStyle w:val="100000000000" w:firstRow="1" w:lastRow="0" w:firstColumn="0" w:lastColumn="0" w:oddVBand="0" w:evenVBand="0" w:oddHBand="0" w:evenHBand="0" w:firstRowFirstColumn="0" w:firstRowLastColumn="0" w:lastRowFirstColumn="0" w:lastRowLastColumn="0"/>
            </w:pPr>
            <w:r>
              <w:t>Highest Survival days</w:t>
            </w:r>
          </w:p>
        </w:tc>
      </w:tr>
      <w:tr w:rsidR="00A50635" w:rsidTr="00C71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9" w:type="pct"/>
          </w:tcPr>
          <w:p w:rsidR="00A50635" w:rsidRDefault="00A50635" w:rsidP="00C17A68">
            <w:r>
              <w:t>Standard treatment all patients</w:t>
            </w:r>
          </w:p>
        </w:tc>
        <w:tc>
          <w:tcPr>
            <w:tcW w:w="1251" w:type="pct"/>
          </w:tcPr>
          <w:p w:rsidR="00A50635" w:rsidRDefault="00A50635" w:rsidP="00C17A68">
            <w:pPr>
              <w:cnfStyle w:val="000000100000" w:firstRow="0" w:lastRow="0" w:firstColumn="0" w:lastColumn="0" w:oddVBand="0" w:evenVBand="0" w:oddHBand="1" w:evenHBand="0" w:firstRowFirstColumn="0" w:firstRowLastColumn="0" w:lastRowFirstColumn="0" w:lastRowLastColumn="0"/>
            </w:pPr>
            <w:r w:rsidRPr="002569F2">
              <w:t>124</w:t>
            </w:r>
          </w:p>
        </w:tc>
        <w:tc>
          <w:tcPr>
            <w:tcW w:w="1250" w:type="pct"/>
            <w:vMerge w:val="restart"/>
          </w:tcPr>
          <w:p w:rsidR="00A50635" w:rsidRPr="002569F2" w:rsidRDefault="00A50635" w:rsidP="00C17A68">
            <w:pPr>
              <w:cnfStyle w:val="000000100000" w:firstRow="0" w:lastRow="0" w:firstColumn="0" w:lastColumn="0" w:oddVBand="0" w:evenVBand="0" w:oddHBand="1" w:evenHBand="0" w:firstRowFirstColumn="0" w:firstRowLastColumn="0" w:lastRowFirstColumn="0" w:lastRowLastColumn="0"/>
            </w:pPr>
            <w:r w:rsidRPr="00A50635">
              <w:t>999</w:t>
            </w:r>
          </w:p>
        </w:tc>
      </w:tr>
      <w:tr w:rsidR="00A50635" w:rsidTr="00C71D7D">
        <w:tc>
          <w:tcPr>
            <w:cnfStyle w:val="001000000000" w:firstRow="0" w:lastRow="0" w:firstColumn="1" w:lastColumn="0" w:oddVBand="0" w:evenVBand="0" w:oddHBand="0" w:evenHBand="0" w:firstRowFirstColumn="0" w:firstRowLastColumn="0" w:lastRowFirstColumn="0" w:lastRowLastColumn="0"/>
            <w:tcW w:w="2499" w:type="pct"/>
          </w:tcPr>
          <w:p w:rsidR="00A50635" w:rsidRDefault="00A50635" w:rsidP="00C17A68">
            <w:r>
              <w:t>Test treatment all patients</w:t>
            </w:r>
          </w:p>
        </w:tc>
        <w:tc>
          <w:tcPr>
            <w:tcW w:w="1251" w:type="pct"/>
          </w:tcPr>
          <w:p w:rsidR="00A50635" w:rsidRDefault="00A50635" w:rsidP="00C17A68">
            <w:pPr>
              <w:cnfStyle w:val="000000000000" w:firstRow="0" w:lastRow="0" w:firstColumn="0" w:lastColumn="0" w:oddVBand="0" w:evenVBand="0" w:oddHBand="0" w:evenHBand="0" w:firstRowFirstColumn="0" w:firstRowLastColumn="0" w:lastRowFirstColumn="0" w:lastRowLastColumn="0"/>
            </w:pPr>
            <w:r w:rsidRPr="002569F2">
              <w:t>142</w:t>
            </w:r>
          </w:p>
        </w:tc>
        <w:tc>
          <w:tcPr>
            <w:tcW w:w="1250" w:type="pct"/>
            <w:vMerge/>
          </w:tcPr>
          <w:p w:rsidR="00A50635" w:rsidRPr="002569F2" w:rsidRDefault="00A50635" w:rsidP="00C17A68">
            <w:pPr>
              <w:cnfStyle w:val="000000000000" w:firstRow="0" w:lastRow="0" w:firstColumn="0" w:lastColumn="0" w:oddVBand="0" w:evenVBand="0" w:oddHBand="0" w:evenHBand="0" w:firstRowFirstColumn="0" w:firstRowLastColumn="0" w:lastRowFirstColumn="0" w:lastRowLastColumn="0"/>
            </w:pPr>
          </w:p>
        </w:tc>
      </w:tr>
      <w:tr w:rsidR="00A50635" w:rsidTr="00C71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9" w:type="pct"/>
          </w:tcPr>
          <w:p w:rsidR="00A50635" w:rsidRDefault="00A50635" w:rsidP="00C17A68">
            <w:r>
              <w:t>Standard treatment in patients with NO prior chemotherapy</w:t>
            </w:r>
          </w:p>
        </w:tc>
        <w:tc>
          <w:tcPr>
            <w:tcW w:w="1251" w:type="pct"/>
          </w:tcPr>
          <w:p w:rsidR="00A50635" w:rsidRDefault="00A50635" w:rsidP="00C17A68">
            <w:pPr>
              <w:cnfStyle w:val="000000100000" w:firstRow="0" w:lastRow="0" w:firstColumn="0" w:lastColumn="0" w:oddVBand="0" w:evenVBand="0" w:oddHBand="1" w:evenHBand="0" w:firstRowFirstColumn="0" w:firstRowLastColumn="0" w:lastRowFirstColumn="0" w:lastRowLastColumn="0"/>
            </w:pPr>
            <w:r w:rsidRPr="002569F2">
              <w:t>131</w:t>
            </w:r>
          </w:p>
        </w:tc>
        <w:tc>
          <w:tcPr>
            <w:tcW w:w="1250" w:type="pct"/>
            <w:vMerge w:val="restart"/>
          </w:tcPr>
          <w:p w:rsidR="00A50635" w:rsidRPr="002569F2" w:rsidRDefault="00A50635" w:rsidP="00C17A68">
            <w:pPr>
              <w:cnfStyle w:val="000000100000" w:firstRow="0" w:lastRow="0" w:firstColumn="0" w:lastColumn="0" w:oddVBand="0" w:evenVBand="0" w:oddHBand="1" w:evenHBand="0" w:firstRowFirstColumn="0" w:firstRowLastColumn="0" w:lastRowFirstColumn="0" w:lastRowLastColumn="0"/>
            </w:pPr>
            <w:r w:rsidRPr="00A50635">
              <w:t>587</w:t>
            </w:r>
          </w:p>
        </w:tc>
      </w:tr>
      <w:tr w:rsidR="00A50635" w:rsidTr="00C71D7D">
        <w:tc>
          <w:tcPr>
            <w:cnfStyle w:val="001000000000" w:firstRow="0" w:lastRow="0" w:firstColumn="1" w:lastColumn="0" w:oddVBand="0" w:evenVBand="0" w:oddHBand="0" w:evenHBand="0" w:firstRowFirstColumn="0" w:firstRowLastColumn="0" w:lastRowFirstColumn="0" w:lastRowLastColumn="0"/>
            <w:tcW w:w="2499" w:type="pct"/>
          </w:tcPr>
          <w:p w:rsidR="00A50635" w:rsidRDefault="00A50635" w:rsidP="00C17A68">
            <w:r>
              <w:t>Test treatment in patients with NO prior chemotherapy</w:t>
            </w:r>
          </w:p>
        </w:tc>
        <w:tc>
          <w:tcPr>
            <w:tcW w:w="1251" w:type="pct"/>
          </w:tcPr>
          <w:p w:rsidR="00A50635" w:rsidRDefault="00A50635" w:rsidP="00C17A68">
            <w:pPr>
              <w:cnfStyle w:val="000000000000" w:firstRow="0" w:lastRow="0" w:firstColumn="0" w:lastColumn="0" w:oddVBand="0" w:evenVBand="0" w:oddHBand="0" w:evenHBand="0" w:firstRowFirstColumn="0" w:firstRowLastColumn="0" w:lastRowFirstColumn="0" w:lastRowLastColumn="0"/>
            </w:pPr>
            <w:r w:rsidRPr="002569F2">
              <w:t>110</w:t>
            </w:r>
          </w:p>
        </w:tc>
        <w:tc>
          <w:tcPr>
            <w:tcW w:w="1250" w:type="pct"/>
            <w:vMerge/>
          </w:tcPr>
          <w:p w:rsidR="00A50635" w:rsidRPr="002569F2" w:rsidRDefault="00A50635" w:rsidP="00C17A68">
            <w:pPr>
              <w:cnfStyle w:val="000000000000" w:firstRow="0" w:lastRow="0" w:firstColumn="0" w:lastColumn="0" w:oddVBand="0" w:evenVBand="0" w:oddHBand="0" w:evenHBand="0" w:firstRowFirstColumn="0" w:firstRowLastColumn="0" w:lastRowFirstColumn="0" w:lastRowLastColumn="0"/>
            </w:pPr>
          </w:p>
        </w:tc>
      </w:tr>
      <w:tr w:rsidR="00A50635" w:rsidTr="00C71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9" w:type="pct"/>
          </w:tcPr>
          <w:p w:rsidR="00A50635" w:rsidRDefault="00A50635" w:rsidP="00C17A68">
            <w:r>
              <w:t>Standard treatment in patients with prior chemotherapy</w:t>
            </w:r>
          </w:p>
        </w:tc>
        <w:tc>
          <w:tcPr>
            <w:tcW w:w="1251" w:type="pct"/>
          </w:tcPr>
          <w:p w:rsidR="00A50635" w:rsidRDefault="00A50635" w:rsidP="00C17A68">
            <w:pPr>
              <w:cnfStyle w:val="000000100000" w:firstRow="0" w:lastRow="0" w:firstColumn="0" w:lastColumn="0" w:oddVBand="0" w:evenVBand="0" w:oddHBand="1" w:evenHBand="0" w:firstRowFirstColumn="0" w:firstRowLastColumn="0" w:lastRowFirstColumn="0" w:lastRowLastColumn="0"/>
            </w:pPr>
            <w:r w:rsidRPr="002569F2">
              <w:t>109</w:t>
            </w:r>
          </w:p>
        </w:tc>
        <w:tc>
          <w:tcPr>
            <w:tcW w:w="1250" w:type="pct"/>
            <w:vMerge w:val="restart"/>
          </w:tcPr>
          <w:p w:rsidR="00A50635" w:rsidRPr="002569F2" w:rsidRDefault="00A50635" w:rsidP="00C17A68">
            <w:pPr>
              <w:cnfStyle w:val="000000100000" w:firstRow="0" w:lastRow="0" w:firstColumn="0" w:lastColumn="0" w:oddVBand="0" w:evenVBand="0" w:oddHBand="1" w:evenHBand="0" w:firstRowFirstColumn="0" w:firstRowLastColumn="0" w:lastRowFirstColumn="0" w:lastRowLastColumn="0"/>
            </w:pPr>
            <w:r w:rsidRPr="00A50635">
              <w:t>999</w:t>
            </w:r>
          </w:p>
        </w:tc>
      </w:tr>
      <w:tr w:rsidR="00A50635" w:rsidTr="00C71D7D">
        <w:tc>
          <w:tcPr>
            <w:cnfStyle w:val="001000000000" w:firstRow="0" w:lastRow="0" w:firstColumn="1" w:lastColumn="0" w:oddVBand="0" w:evenVBand="0" w:oddHBand="0" w:evenHBand="0" w:firstRowFirstColumn="0" w:firstRowLastColumn="0" w:lastRowFirstColumn="0" w:lastRowLastColumn="0"/>
            <w:tcW w:w="2499" w:type="pct"/>
          </w:tcPr>
          <w:p w:rsidR="00A50635" w:rsidRDefault="00A50635" w:rsidP="00C17A68">
            <w:r>
              <w:t>Test treatment yes patients with prior chemotherapy</w:t>
            </w:r>
          </w:p>
        </w:tc>
        <w:tc>
          <w:tcPr>
            <w:tcW w:w="1251" w:type="pct"/>
          </w:tcPr>
          <w:p w:rsidR="00A50635" w:rsidRDefault="00A50635" w:rsidP="00C17A68">
            <w:pPr>
              <w:cnfStyle w:val="000000000000" w:firstRow="0" w:lastRow="0" w:firstColumn="0" w:lastColumn="0" w:oddVBand="0" w:evenVBand="0" w:oddHBand="0" w:evenHBand="0" w:firstRowFirstColumn="0" w:firstRowLastColumn="0" w:lastRowFirstColumn="0" w:lastRowLastColumn="0"/>
            </w:pPr>
            <w:r w:rsidRPr="002569F2">
              <w:t>243</w:t>
            </w:r>
          </w:p>
        </w:tc>
        <w:tc>
          <w:tcPr>
            <w:tcW w:w="1250" w:type="pct"/>
            <w:vMerge/>
          </w:tcPr>
          <w:p w:rsidR="00A50635" w:rsidRPr="002569F2" w:rsidRDefault="00A50635" w:rsidP="00C17A68">
            <w:pPr>
              <w:cnfStyle w:val="000000000000" w:firstRow="0" w:lastRow="0" w:firstColumn="0" w:lastColumn="0" w:oddVBand="0" w:evenVBand="0" w:oddHBand="0" w:evenHBand="0" w:firstRowFirstColumn="0" w:firstRowLastColumn="0" w:lastRowFirstColumn="0" w:lastRowLastColumn="0"/>
            </w:pPr>
          </w:p>
        </w:tc>
      </w:tr>
    </w:tbl>
    <w:p w:rsidR="00A50635" w:rsidRPr="00EB483A" w:rsidRDefault="00A50635" w:rsidP="00EB483A"/>
    <w:p w:rsidR="00C04DCF" w:rsidRDefault="00C04DCF" w:rsidP="00C04DCF">
      <w:r>
        <w:rPr>
          <w:kern w:val="0"/>
          <w14:ligatures w14:val="none"/>
        </w:rPr>
        <w:t>Semi-parametric models</w:t>
      </w:r>
      <w:r w:rsidRPr="00EB483A">
        <w:t xml:space="preserve"> (Cox Proportional Hazards)</w:t>
      </w:r>
      <w:r>
        <w:t>, and parametric models</w:t>
      </w:r>
      <w:r w:rsidRPr="00EB483A">
        <w:t xml:space="preserve"> were </w:t>
      </w:r>
      <w:r>
        <w:t>created to estimate the effects of age and months of diagnosis on survival probabilities in patients with standard vs. test treatments.</w:t>
      </w:r>
    </w:p>
    <w:p w:rsidR="00AC5624" w:rsidRDefault="00AC5624" w:rsidP="00C04DCF"/>
    <w:p w:rsidR="00C04DCF" w:rsidRDefault="00C04DCF" w:rsidP="00C04DCF">
      <w:r>
        <w:t>The following effects were observed from Age using one of the Semi-parametric models:</w:t>
      </w:r>
    </w:p>
    <w:p w:rsidR="00C04DCF" w:rsidRDefault="00C04DCF" w:rsidP="00C04DCF">
      <w:pPr>
        <w:pStyle w:val="ListParagraph"/>
        <w:numPr>
          <w:ilvl w:val="0"/>
          <w:numId w:val="8"/>
        </w:numPr>
      </w:pPr>
      <w:r w:rsidRPr="00F7482F">
        <w:t>Standard treatment</w:t>
      </w:r>
      <w:r>
        <w:t xml:space="preserve"> group: </w:t>
      </w:r>
    </w:p>
    <w:p w:rsidR="00C04DCF" w:rsidRDefault="00C04DCF" w:rsidP="00C04DCF">
      <w:pPr>
        <w:pStyle w:val="ListParagraph"/>
        <w:numPr>
          <w:ilvl w:val="1"/>
          <w:numId w:val="8"/>
        </w:numPr>
      </w:pPr>
      <w:r>
        <w:t xml:space="preserve">Age seemed to decrease survival in patients with standard treatment. However, this effect was not statistically significant. P-value of 0.68. </w:t>
      </w:r>
      <w:r>
        <w:rPr>
          <w:kern w:val="0"/>
          <w14:ligatures w14:val="none"/>
        </w:rPr>
        <w:t>The hazard</w:t>
      </w:r>
      <w:r>
        <w:t xml:space="preserve"> rate for standard treatment was 1.0051, confidence interval 95% (0.9810 – 1.030). E</w:t>
      </w:r>
      <w:r w:rsidRPr="005F354F">
        <w:t xml:space="preserve">ach </w:t>
      </w:r>
      <w:r w:rsidRPr="005F354F">
        <w:lastRenderedPageBreak/>
        <w:t xml:space="preserve">additional year of age was associated with a </w:t>
      </w:r>
      <w:r w:rsidRPr="00B80099">
        <w:rPr>
          <w:rFonts w:eastAsiaTheme="majorEastAsia"/>
        </w:rPr>
        <w:t>0.51% increase in the hazard of death</w:t>
      </w:r>
      <w:r w:rsidRPr="005F354F">
        <w:t>.</w:t>
      </w:r>
    </w:p>
    <w:p w:rsidR="00C04DCF" w:rsidRDefault="00C04DCF" w:rsidP="00C04DCF">
      <w:pPr>
        <w:pStyle w:val="ListParagraph"/>
        <w:numPr>
          <w:ilvl w:val="0"/>
          <w:numId w:val="7"/>
        </w:numPr>
      </w:pPr>
      <w:r w:rsidRPr="00F7482F">
        <w:t>Test treatment</w:t>
      </w:r>
      <w:r>
        <w:t xml:space="preserve">: </w:t>
      </w:r>
    </w:p>
    <w:p w:rsidR="00C04DCF" w:rsidRDefault="00C04DCF" w:rsidP="00C04DCF">
      <w:pPr>
        <w:pStyle w:val="ListParagraph"/>
        <w:numPr>
          <w:ilvl w:val="1"/>
          <w:numId w:val="7"/>
        </w:numPr>
      </w:pPr>
      <w:r>
        <w:t xml:space="preserve">Age seemed to increase survival in patients with test treatment. However, this effect was not statistically significant. P-value of 0.953. </w:t>
      </w:r>
      <w:r>
        <w:rPr>
          <w:kern w:val="0"/>
          <w14:ligatures w14:val="none"/>
        </w:rPr>
        <w:t>The hazard</w:t>
      </w:r>
      <w:r>
        <w:t xml:space="preserve"> rate for test treatment was 0.9988, confidence </w:t>
      </w:r>
      <w:r w:rsidR="00F063CA">
        <w:t xml:space="preserve">interval </w:t>
      </w:r>
      <w:r>
        <w:t>95% (0.9594 – 1.040) compared to standard treatment. E</w:t>
      </w:r>
      <w:r w:rsidRPr="005F354F">
        <w:t xml:space="preserve">ach additional year of age was associated with a </w:t>
      </w:r>
      <w:r w:rsidRPr="00B80099">
        <w:rPr>
          <w:rFonts w:eastAsiaTheme="majorEastAsia"/>
        </w:rPr>
        <w:t>0.12% decrease in the hazard of death</w:t>
      </w:r>
      <w:r w:rsidRPr="005F354F">
        <w:t>.</w:t>
      </w:r>
    </w:p>
    <w:p w:rsidR="00C04DCF" w:rsidRDefault="00C04DCF" w:rsidP="00C04DCF">
      <w:pPr>
        <w:pStyle w:val="ListParagraph"/>
      </w:pPr>
    </w:p>
    <w:p w:rsidR="00C04DCF" w:rsidRDefault="00C04DCF" w:rsidP="00C04DCF">
      <w:r>
        <w:t>The following effects were observed from Months of diagnosis using one of the Semi-parametric models:</w:t>
      </w:r>
    </w:p>
    <w:p w:rsidR="00C04DCF" w:rsidRDefault="00C04DCF" w:rsidP="00C04DCF">
      <w:pPr>
        <w:pStyle w:val="ListParagraph"/>
        <w:numPr>
          <w:ilvl w:val="0"/>
          <w:numId w:val="7"/>
        </w:numPr>
      </w:pPr>
      <w:r w:rsidRPr="00F7482F">
        <w:t>Standard treatment</w:t>
      </w:r>
      <w:r w:rsidRPr="00B80099">
        <w:t>:</w:t>
      </w:r>
      <w:r>
        <w:t xml:space="preserve"> </w:t>
      </w:r>
    </w:p>
    <w:p w:rsidR="00C04DCF" w:rsidRDefault="00C04DCF" w:rsidP="00C04DCF">
      <w:pPr>
        <w:pStyle w:val="ListParagraph"/>
        <w:numPr>
          <w:ilvl w:val="1"/>
          <w:numId w:val="7"/>
        </w:numPr>
      </w:pPr>
      <w:r w:rsidRPr="00B80099">
        <w:t>As Months from diagnosis increased, it seemed to decrease survival.</w:t>
      </w:r>
      <w:r>
        <w:t xml:space="preserve"> </w:t>
      </w:r>
      <w:r w:rsidRPr="00B80099">
        <w:t xml:space="preserve">However, the effect was not significant, p-value of 0.44. </w:t>
      </w:r>
      <w:r w:rsidR="00E937DA">
        <w:t>The h</w:t>
      </w:r>
      <w:r w:rsidRPr="00B80099">
        <w:t xml:space="preserve">azard </w:t>
      </w:r>
      <w:r w:rsidR="00E937DA">
        <w:t>rate</w:t>
      </w:r>
      <w:r w:rsidRPr="00B80099">
        <w:t xml:space="preserve"> was 1.013, CI (0.958 – 1.03). Each additional month of </w:t>
      </w:r>
      <w:r>
        <w:t>diagnosis</w:t>
      </w:r>
      <w:r w:rsidRPr="00B80099">
        <w:t xml:space="preserve"> was associated with a 1.3% increase in the hazard of death. </w:t>
      </w:r>
    </w:p>
    <w:p w:rsidR="00C04DCF" w:rsidRDefault="00C04DCF" w:rsidP="00C04DCF">
      <w:pPr>
        <w:pStyle w:val="ListParagraph"/>
        <w:numPr>
          <w:ilvl w:val="0"/>
          <w:numId w:val="7"/>
        </w:numPr>
      </w:pPr>
      <w:r w:rsidRPr="00F7482F">
        <w:t>Test treatment</w:t>
      </w:r>
      <w:r w:rsidRPr="00B80099">
        <w:t>:</w:t>
      </w:r>
      <w:r>
        <w:t xml:space="preserve"> </w:t>
      </w:r>
    </w:p>
    <w:p w:rsidR="00C04DCF" w:rsidRPr="00B80099" w:rsidRDefault="00C04DCF" w:rsidP="00C04DCF">
      <w:pPr>
        <w:pStyle w:val="ListParagraph"/>
        <w:numPr>
          <w:ilvl w:val="1"/>
          <w:numId w:val="7"/>
        </w:numPr>
      </w:pPr>
      <w:r w:rsidRPr="00B80099">
        <w:t xml:space="preserve">As Months from diagnosis increased, it seemed to increase survival. However, the effect was not significant, p-value of 0.81. </w:t>
      </w:r>
      <w:r w:rsidR="00E937DA">
        <w:t>The h</w:t>
      </w:r>
      <w:r w:rsidRPr="00B80099">
        <w:t xml:space="preserve">azard </w:t>
      </w:r>
      <w:r w:rsidR="00E937DA">
        <w:t>rate</w:t>
      </w:r>
      <w:r w:rsidRPr="00B80099">
        <w:t xml:space="preserve"> was 0.9954, CI (0.958 – 1.034). Each additional month of diagnosis was associated with a 0.46% decrease in the hazard of death compared to </w:t>
      </w:r>
      <w:r w:rsidR="00E937DA">
        <w:t xml:space="preserve">the </w:t>
      </w:r>
      <w:r w:rsidRPr="00B80099">
        <w:t>standard treatment group.</w:t>
      </w:r>
    </w:p>
    <w:p w:rsidR="00C04DCF" w:rsidRDefault="00C04DCF" w:rsidP="00C04DCF"/>
    <w:p w:rsidR="00C04DCF" w:rsidRDefault="00C04DCF" w:rsidP="00C04DCF">
      <w:r>
        <w:t>The following effects were observed from Age using one of the Parametric models:</w:t>
      </w:r>
    </w:p>
    <w:p w:rsidR="00C04DCF" w:rsidRDefault="00C04DCF" w:rsidP="00C04DCF">
      <w:pPr>
        <w:pStyle w:val="ListParagraph"/>
        <w:numPr>
          <w:ilvl w:val="0"/>
          <w:numId w:val="9"/>
        </w:numPr>
      </w:pPr>
      <w:r>
        <w:t xml:space="preserve">Standard treatment: </w:t>
      </w:r>
    </w:p>
    <w:p w:rsidR="00C04DCF" w:rsidRDefault="00C04DCF" w:rsidP="00C04DCF">
      <w:pPr>
        <w:pStyle w:val="ListParagraph"/>
        <w:numPr>
          <w:ilvl w:val="1"/>
          <w:numId w:val="9"/>
        </w:numPr>
      </w:pPr>
      <w:r>
        <w:t xml:space="preserve">As age increased, it seemed to increase survival. However, the effect was not significant, p-value of 0.54. </w:t>
      </w:r>
      <w:r w:rsidR="00735160">
        <w:rPr>
          <w:kern w:val="0"/>
          <w14:ligatures w14:val="none"/>
        </w:rPr>
        <w:t>The hazard</w:t>
      </w:r>
      <w:r>
        <w:t xml:space="preserve"> </w:t>
      </w:r>
      <w:r w:rsidR="00735160">
        <w:t>rate</w:t>
      </w:r>
      <w:r>
        <w:t xml:space="preserve"> </w:t>
      </w:r>
      <w:r w:rsidR="00735160">
        <w:t>was</w:t>
      </w:r>
      <w:r>
        <w:t xml:space="preserve"> 1.0075. Each additional year in age was associated with a 0.75% decrease in </w:t>
      </w:r>
      <w:r>
        <w:rPr>
          <w:kern w:val="0"/>
          <w14:ligatures w14:val="none"/>
        </w:rPr>
        <w:t>the hazard</w:t>
      </w:r>
      <w:r>
        <w:t xml:space="preserve"> of death.</w:t>
      </w:r>
    </w:p>
    <w:p w:rsidR="00C04DCF" w:rsidRDefault="00C04DCF" w:rsidP="00C04DCF">
      <w:pPr>
        <w:pStyle w:val="ListParagraph"/>
        <w:numPr>
          <w:ilvl w:val="0"/>
          <w:numId w:val="9"/>
        </w:numPr>
      </w:pPr>
      <w:r>
        <w:t>Test treatment:</w:t>
      </w:r>
    </w:p>
    <w:p w:rsidR="00C04DCF" w:rsidRDefault="00C04DCF" w:rsidP="00C04DCF">
      <w:pPr>
        <w:pStyle w:val="ListParagraph"/>
        <w:numPr>
          <w:ilvl w:val="1"/>
          <w:numId w:val="9"/>
        </w:numPr>
      </w:pPr>
      <w:r>
        <w:t xml:space="preserve">As age increased, it seemed to decrease survival. However, the effect was not significant, p-value of 0.93. </w:t>
      </w:r>
      <w:r w:rsidR="00735160">
        <w:t>The hazard</w:t>
      </w:r>
      <w:r>
        <w:t xml:space="preserve"> </w:t>
      </w:r>
      <w:r w:rsidR="00735160">
        <w:t>rate</w:t>
      </w:r>
      <w:r>
        <w:t xml:space="preserve"> </w:t>
      </w:r>
      <w:r w:rsidR="00735160">
        <w:t>was</w:t>
      </w:r>
      <w:r>
        <w:t xml:space="preserve"> 0.998. Each additional year in age</w:t>
      </w:r>
      <w:r w:rsidR="00735160">
        <w:t xml:space="preserve"> </w:t>
      </w:r>
      <w:r>
        <w:t>was associated with a 0.2% increase in the hazard of death.</w:t>
      </w:r>
    </w:p>
    <w:p w:rsidR="00F063CA" w:rsidRDefault="00F063CA" w:rsidP="00F063CA"/>
    <w:p w:rsidR="00F063CA" w:rsidRDefault="00F063CA" w:rsidP="00F063CA">
      <w:r>
        <w:t>The following effects were observed from Months from diagnosis using one of the Parametric models:</w:t>
      </w:r>
    </w:p>
    <w:p w:rsidR="00F063CA" w:rsidRDefault="00F063CA" w:rsidP="00F063CA">
      <w:pPr>
        <w:pStyle w:val="ListParagraph"/>
        <w:numPr>
          <w:ilvl w:val="0"/>
          <w:numId w:val="13"/>
        </w:numPr>
      </w:pPr>
      <w:r>
        <w:t>Standard treatment:</w:t>
      </w:r>
    </w:p>
    <w:p w:rsidR="00F063CA" w:rsidRDefault="00F063CA" w:rsidP="00F063CA">
      <w:pPr>
        <w:pStyle w:val="ListParagraph"/>
        <w:numPr>
          <w:ilvl w:val="1"/>
          <w:numId w:val="13"/>
        </w:numPr>
      </w:pPr>
      <w:r>
        <w:t xml:space="preserve">As months from diagnosis increased, it seemed to increase survival. However, the effect was not significant, p-value of 0.49. </w:t>
      </w:r>
      <w:r w:rsidR="00D54E2B">
        <w:rPr>
          <w:kern w:val="0"/>
          <w14:ligatures w14:val="none"/>
        </w:rPr>
        <w:t>The hazard</w:t>
      </w:r>
      <w:r>
        <w:t xml:space="preserve"> </w:t>
      </w:r>
      <w:r w:rsidR="00D54E2B">
        <w:t>rate</w:t>
      </w:r>
      <w:r>
        <w:t xml:space="preserve"> </w:t>
      </w:r>
      <w:r w:rsidR="00D54E2B">
        <w:t>was</w:t>
      </w:r>
      <w:r>
        <w:t xml:space="preserve"> 1.012. Each additional month from diagnosis was associated with a 0.12% decrease in the hazard of death. </w:t>
      </w:r>
    </w:p>
    <w:p w:rsidR="00F063CA" w:rsidRDefault="00F063CA" w:rsidP="00F063CA">
      <w:pPr>
        <w:pStyle w:val="ListParagraph"/>
        <w:numPr>
          <w:ilvl w:val="0"/>
          <w:numId w:val="13"/>
        </w:numPr>
      </w:pPr>
      <w:r>
        <w:t>Test treatment:</w:t>
      </w:r>
    </w:p>
    <w:p w:rsidR="00F063CA" w:rsidRDefault="00F063CA" w:rsidP="00F063CA">
      <w:pPr>
        <w:pStyle w:val="ListParagraph"/>
        <w:numPr>
          <w:ilvl w:val="1"/>
          <w:numId w:val="9"/>
        </w:numPr>
      </w:pPr>
      <w:r>
        <w:t>As months from diagnosis increased</w:t>
      </w:r>
      <w:r w:rsidR="000C6B34">
        <w:t xml:space="preserve">, it seemed to decrease survival. However, the effect was not significant, p-value of 0.9. </w:t>
      </w:r>
      <w:r w:rsidR="00D54E2B">
        <w:rPr>
          <w:kern w:val="0"/>
          <w14:ligatures w14:val="none"/>
        </w:rPr>
        <w:t>The hazard</w:t>
      </w:r>
      <w:r w:rsidR="000C6B34">
        <w:t xml:space="preserve"> </w:t>
      </w:r>
      <w:r w:rsidR="00D54E2B">
        <w:t>rate</w:t>
      </w:r>
      <w:r w:rsidR="000C6B34">
        <w:t xml:space="preserve"> </w:t>
      </w:r>
      <w:r w:rsidR="00D54E2B">
        <w:t>was</w:t>
      </w:r>
      <w:r w:rsidR="000C6B34">
        <w:t xml:space="preserve"> 0.998. Each </w:t>
      </w:r>
      <w:r w:rsidR="000C6B34">
        <w:lastRenderedPageBreak/>
        <w:t>additional year in months from</w:t>
      </w:r>
      <w:r w:rsidR="00D54E2B">
        <w:t xml:space="preserve"> diagnosis</w:t>
      </w:r>
      <w:r w:rsidR="000C6B34">
        <w:t xml:space="preserve"> was associated with a 0.2% increase in the hazard of death.</w:t>
      </w:r>
    </w:p>
    <w:p w:rsidR="00F7482F" w:rsidRDefault="00F7482F" w:rsidP="00F7482F">
      <w:pPr>
        <w:pStyle w:val="Heading1"/>
      </w:pPr>
      <w:r>
        <w:t>Conclusion</w:t>
      </w:r>
    </w:p>
    <w:p w:rsidR="0057721D" w:rsidRDefault="00820822" w:rsidP="0057721D">
      <w:r>
        <w:t>Kaplan-Meier curves seemed to show</w:t>
      </w:r>
      <w:r w:rsidR="00012F39">
        <w:t xml:space="preserve"> </w:t>
      </w:r>
      <w:r w:rsidR="0057721D">
        <w:t>modest</w:t>
      </w:r>
      <w:r w:rsidR="00012F39">
        <w:t xml:space="preserve"> differences in survival </w:t>
      </w:r>
      <w:r w:rsidR="0057721D">
        <w:t>between</w:t>
      </w:r>
      <w:r w:rsidR="00012F39">
        <w:t xml:space="preserve"> standard vs</w:t>
      </w:r>
      <w:r w:rsidR="0057721D">
        <w:t xml:space="preserve">. </w:t>
      </w:r>
      <w:r w:rsidR="00012F39">
        <w:t>test treatment</w:t>
      </w:r>
      <w:r w:rsidR="0057721D">
        <w:t>, but</w:t>
      </w:r>
      <w:r w:rsidR="00012F39">
        <w:t xml:space="preserve"> the differences were not statistically significant. </w:t>
      </w:r>
      <w:r w:rsidR="00B2528E">
        <w:t>T</w:t>
      </w:r>
      <w:r w:rsidR="00012F39">
        <w:t xml:space="preserve">he differences were not </w:t>
      </w:r>
      <w:r w:rsidR="0057721D">
        <w:t xml:space="preserve">statistically </w:t>
      </w:r>
      <w:r w:rsidR="00012F39">
        <w:t>significant</w:t>
      </w:r>
      <w:r w:rsidR="00B2528E">
        <w:t>,</w:t>
      </w:r>
      <w:r w:rsidR="00012F39">
        <w:t xml:space="preserve"> </w:t>
      </w:r>
      <w:r w:rsidR="00B2528E">
        <w:t xml:space="preserve">even if the patients were separated </w:t>
      </w:r>
      <w:r w:rsidR="00B2528E">
        <w:rPr>
          <w:kern w:val="0"/>
          <w14:ligatures w14:val="none"/>
        </w:rPr>
        <w:t>into</w:t>
      </w:r>
      <w:r w:rsidR="00B2528E">
        <w:t xml:space="preserve"> groups of receiving prior chemotherapy or not</w:t>
      </w:r>
      <w:r w:rsidR="00012F39">
        <w:t xml:space="preserve">. </w:t>
      </w:r>
      <w:r w:rsidR="0057721D" w:rsidRPr="0057721D">
        <w:t>Cox and parametric models showed that </w:t>
      </w:r>
      <w:r w:rsidR="00B2528E">
        <w:t>Age</w:t>
      </w:r>
      <w:r w:rsidR="0057721D" w:rsidRPr="0057721D">
        <w:t> and </w:t>
      </w:r>
      <w:r w:rsidR="00B2528E">
        <w:t>Months</w:t>
      </w:r>
      <w:r w:rsidR="0057721D" w:rsidRPr="0057721D">
        <w:t xml:space="preserve"> from diagnosis had no meaningful impact on survival, regardless of treatment.</w:t>
      </w:r>
      <w:r w:rsidR="0057721D">
        <w:t xml:space="preserve"> </w:t>
      </w:r>
    </w:p>
    <w:p w:rsidR="001076DD" w:rsidRDefault="001076DD" w:rsidP="00012F39"/>
    <w:p w:rsidR="001076DD" w:rsidRPr="00012F39" w:rsidRDefault="001076DD" w:rsidP="00012F39">
      <w:r>
        <w:t xml:space="preserve">Further investigation is </w:t>
      </w:r>
      <w:r w:rsidR="0057721D">
        <w:t>recommended</w:t>
      </w:r>
      <w:r w:rsidR="000B3657">
        <w:t xml:space="preserve"> to </w:t>
      </w:r>
      <w:r w:rsidR="0057721D">
        <w:t xml:space="preserve">explore the treatment effects </w:t>
      </w:r>
      <w:r w:rsidR="00B2528E">
        <w:t>for different</w:t>
      </w:r>
      <w:r w:rsidR="0057721D">
        <w:t xml:space="preserve"> lung cancer cell types</w:t>
      </w:r>
      <w:r>
        <w:t xml:space="preserve">. If possible, more lung cancer patients should be enrolled in the </w:t>
      </w:r>
      <w:r w:rsidR="0057721D">
        <w:t xml:space="preserve">trial to obtain a large sample for each lung cancer subtype. </w:t>
      </w:r>
      <w:r w:rsidR="000B3657">
        <w:t xml:space="preserve">This analysis did not seem to provide evidence of survival benefits in lung cancer patients treated with </w:t>
      </w:r>
      <w:r w:rsidR="0057721D">
        <w:t xml:space="preserve">the </w:t>
      </w:r>
      <w:r w:rsidR="000B3657">
        <w:t xml:space="preserve">test drug. </w:t>
      </w:r>
    </w:p>
    <w:p w:rsidR="00012F39" w:rsidRDefault="00012F39" w:rsidP="00EB483A"/>
    <w:p w:rsidR="00B80099" w:rsidRDefault="00B80099" w:rsidP="00EB483A"/>
    <w:p w:rsidR="00B80099" w:rsidRDefault="00B80099" w:rsidP="00EB483A"/>
    <w:p w:rsidR="00B80099" w:rsidRDefault="00B80099" w:rsidP="00EB483A"/>
    <w:p w:rsidR="00B80099" w:rsidRDefault="00B80099" w:rsidP="00EB483A"/>
    <w:p w:rsidR="00EB483A" w:rsidRDefault="00EB483A" w:rsidP="00EB483A"/>
    <w:p w:rsidR="00EB483A" w:rsidRDefault="00EB483A" w:rsidP="00EB483A"/>
    <w:p w:rsidR="00EB483A" w:rsidRPr="00EB483A" w:rsidRDefault="00EB483A" w:rsidP="00EB483A"/>
    <w:p w:rsidR="00A50635" w:rsidRDefault="00A50635" w:rsidP="00A50635">
      <w:r>
        <w:br w:type="page"/>
      </w:r>
    </w:p>
    <w:p w:rsidR="00A5062C" w:rsidRDefault="00A5062C" w:rsidP="00EA7F44">
      <w:pPr>
        <w:autoSpaceDE w:val="0"/>
        <w:autoSpaceDN w:val="0"/>
        <w:adjustRightInd w:val="0"/>
        <w:spacing w:after="240"/>
      </w:pPr>
    </w:p>
    <w:p w:rsidR="00EA7F44" w:rsidRDefault="00EA7F44" w:rsidP="00F7482F">
      <w:pPr>
        <w:pStyle w:val="Heading1"/>
      </w:pPr>
      <w:r>
        <w:t>References</w:t>
      </w:r>
    </w:p>
    <w:p w:rsidR="00EA7F44" w:rsidRDefault="00EA7F44" w:rsidP="00EA7F44">
      <w:pPr>
        <w:pStyle w:val="ListParagraph"/>
        <w:numPr>
          <w:ilvl w:val="0"/>
          <w:numId w:val="3"/>
        </w:numPr>
        <w:autoSpaceDE w:val="0"/>
        <w:autoSpaceDN w:val="0"/>
        <w:adjustRightInd w:val="0"/>
        <w:spacing w:after="240"/>
      </w:pPr>
      <w:proofErr w:type="spellStart"/>
      <w:r>
        <w:t>Datalab</w:t>
      </w:r>
      <w:proofErr w:type="spellEnd"/>
      <w:r>
        <w:t xml:space="preserve"> – Kaplan Meier Curve. </w:t>
      </w:r>
      <w:hyperlink r:id="rId9" w:history="1">
        <w:r w:rsidRPr="007F1DFF">
          <w:rPr>
            <w:rStyle w:val="Hyperlink"/>
          </w:rPr>
          <w:t>https://datatab.net/tutorial/kaplan-meier-curve</w:t>
        </w:r>
      </w:hyperlink>
    </w:p>
    <w:p w:rsidR="00EA7F44" w:rsidRDefault="00EA7F44" w:rsidP="00EA7F44">
      <w:pPr>
        <w:pStyle w:val="ListParagraph"/>
        <w:numPr>
          <w:ilvl w:val="0"/>
          <w:numId w:val="3"/>
        </w:numPr>
        <w:autoSpaceDE w:val="0"/>
        <w:autoSpaceDN w:val="0"/>
        <w:adjustRightInd w:val="0"/>
        <w:spacing w:after="240"/>
      </w:pPr>
      <w:r>
        <w:t xml:space="preserve">STHDA – Cox proportional hazards model. </w:t>
      </w:r>
      <w:hyperlink r:id="rId10" w:anchor=":~:text=Cox%20regression%20model.-,Basics%20of%20the%20Cox%20proportional%20hazards%20model,in%20the%20survival%2Danalysis%20literature.&amp;text=where%2C,...%2Cxp" w:history="1">
        <w:r w:rsidR="00AF3B91" w:rsidRPr="007F1DFF">
          <w:rPr>
            <w:rStyle w:val="Hyperlink"/>
          </w:rPr>
          <w:t>https://www.sthda.com/english/wiki/cox-proportional-hazards-model#:~:text=Cox%20regression%20model.-,Basics%20of%20the%20Cox%20proportional%20hazards%20model,in%20the%20survival%2Danalysis%20literature.&amp;text=where%2C,...%2Cxp</w:t>
        </w:r>
      </w:hyperlink>
      <w:r w:rsidRPr="00EA7F44">
        <w:t>)</w:t>
      </w:r>
    </w:p>
    <w:p w:rsidR="00AF3B91" w:rsidRPr="00127293" w:rsidRDefault="00AF3B91" w:rsidP="00EA7F44">
      <w:pPr>
        <w:pStyle w:val="ListParagraph"/>
        <w:numPr>
          <w:ilvl w:val="0"/>
          <w:numId w:val="3"/>
        </w:numPr>
        <w:autoSpaceDE w:val="0"/>
        <w:autoSpaceDN w:val="0"/>
        <w:adjustRightInd w:val="0"/>
        <w:spacing w:after="240"/>
      </w:pPr>
      <w:r>
        <w:t xml:space="preserve">Parametric survival modeling - </w:t>
      </w:r>
      <w:r w:rsidRPr="00AF3B91">
        <w:t>https://devinincerti.com/2019/06/18/parametric_survival.html</w:t>
      </w:r>
    </w:p>
    <w:p w:rsidR="008A0EDB" w:rsidRPr="008A0EDB" w:rsidRDefault="008A0EDB" w:rsidP="008A0EDB"/>
    <w:p w:rsidR="00BB341E" w:rsidRDefault="00BB341E" w:rsidP="00BB341E"/>
    <w:p w:rsidR="00BB341E" w:rsidRPr="00BB341E" w:rsidRDefault="00BB341E" w:rsidP="00BB341E"/>
    <w:sectPr w:rsidR="00BB341E" w:rsidRPr="00BB341E" w:rsidSect="00C61F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D0AAC"/>
    <w:multiLevelType w:val="hybridMultilevel"/>
    <w:tmpl w:val="4A12E8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207E1F"/>
    <w:multiLevelType w:val="multilevel"/>
    <w:tmpl w:val="8CD2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174F6"/>
    <w:multiLevelType w:val="hybridMultilevel"/>
    <w:tmpl w:val="8E7EE4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D21E68"/>
    <w:multiLevelType w:val="hybridMultilevel"/>
    <w:tmpl w:val="8B4698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A362A4"/>
    <w:multiLevelType w:val="hybridMultilevel"/>
    <w:tmpl w:val="DAE88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661F09"/>
    <w:multiLevelType w:val="hybridMultilevel"/>
    <w:tmpl w:val="79E01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0E70EC"/>
    <w:multiLevelType w:val="multilevel"/>
    <w:tmpl w:val="A946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A2FB8"/>
    <w:multiLevelType w:val="multilevel"/>
    <w:tmpl w:val="A25C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1B1E04"/>
    <w:multiLevelType w:val="hybridMultilevel"/>
    <w:tmpl w:val="BD120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DD2720"/>
    <w:multiLevelType w:val="hybridMultilevel"/>
    <w:tmpl w:val="802C9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52A4D"/>
    <w:multiLevelType w:val="hybridMultilevel"/>
    <w:tmpl w:val="1D081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8310D2"/>
    <w:multiLevelType w:val="hybridMultilevel"/>
    <w:tmpl w:val="FE7A15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D67E37"/>
    <w:multiLevelType w:val="hybridMultilevel"/>
    <w:tmpl w:val="10781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2720759">
    <w:abstractNumId w:val="2"/>
  </w:num>
  <w:num w:numId="2" w16cid:durableId="457724145">
    <w:abstractNumId w:val="7"/>
  </w:num>
  <w:num w:numId="3" w16cid:durableId="103421624">
    <w:abstractNumId w:val="5"/>
  </w:num>
  <w:num w:numId="4" w16cid:durableId="774833275">
    <w:abstractNumId w:val="6"/>
  </w:num>
  <w:num w:numId="5" w16cid:durableId="197552260">
    <w:abstractNumId w:val="10"/>
  </w:num>
  <w:num w:numId="6" w16cid:durableId="1285624599">
    <w:abstractNumId w:val="12"/>
  </w:num>
  <w:num w:numId="7" w16cid:durableId="1984920256">
    <w:abstractNumId w:val="8"/>
  </w:num>
  <w:num w:numId="8" w16cid:durableId="1730962152">
    <w:abstractNumId w:val="4"/>
  </w:num>
  <w:num w:numId="9" w16cid:durableId="288242378">
    <w:abstractNumId w:val="0"/>
  </w:num>
  <w:num w:numId="10" w16cid:durableId="1171068360">
    <w:abstractNumId w:val="1"/>
  </w:num>
  <w:num w:numId="11" w16cid:durableId="745420338">
    <w:abstractNumId w:val="9"/>
  </w:num>
  <w:num w:numId="12" w16cid:durableId="1598561632">
    <w:abstractNumId w:val="3"/>
  </w:num>
  <w:num w:numId="13" w16cid:durableId="20968974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532"/>
    <w:rsid w:val="00012F39"/>
    <w:rsid w:val="0009323D"/>
    <w:rsid w:val="000B3657"/>
    <w:rsid w:val="000C6B34"/>
    <w:rsid w:val="000D6F8A"/>
    <w:rsid w:val="001076DD"/>
    <w:rsid w:val="00127293"/>
    <w:rsid w:val="00131A28"/>
    <w:rsid w:val="00194B06"/>
    <w:rsid w:val="001B3371"/>
    <w:rsid w:val="00294FED"/>
    <w:rsid w:val="002F3CF1"/>
    <w:rsid w:val="00301532"/>
    <w:rsid w:val="0034407D"/>
    <w:rsid w:val="003920F3"/>
    <w:rsid w:val="003C3F4A"/>
    <w:rsid w:val="00402035"/>
    <w:rsid w:val="004232A1"/>
    <w:rsid w:val="00433273"/>
    <w:rsid w:val="005030F2"/>
    <w:rsid w:val="0054563D"/>
    <w:rsid w:val="00570A42"/>
    <w:rsid w:val="0057721D"/>
    <w:rsid w:val="00697C33"/>
    <w:rsid w:val="006F32AF"/>
    <w:rsid w:val="00735160"/>
    <w:rsid w:val="008107D9"/>
    <w:rsid w:val="00820822"/>
    <w:rsid w:val="00870736"/>
    <w:rsid w:val="008822E0"/>
    <w:rsid w:val="008835C7"/>
    <w:rsid w:val="008862D0"/>
    <w:rsid w:val="008A0EDB"/>
    <w:rsid w:val="00915130"/>
    <w:rsid w:val="00A5062C"/>
    <w:rsid w:val="00A50635"/>
    <w:rsid w:val="00AC5624"/>
    <w:rsid w:val="00AD2FFE"/>
    <w:rsid w:val="00AF3B91"/>
    <w:rsid w:val="00B2528E"/>
    <w:rsid w:val="00B80099"/>
    <w:rsid w:val="00B839EE"/>
    <w:rsid w:val="00BB341E"/>
    <w:rsid w:val="00BF6C59"/>
    <w:rsid w:val="00C04DCF"/>
    <w:rsid w:val="00C61F95"/>
    <w:rsid w:val="00C71D7D"/>
    <w:rsid w:val="00C9508C"/>
    <w:rsid w:val="00D54E2B"/>
    <w:rsid w:val="00E503F4"/>
    <w:rsid w:val="00E937DA"/>
    <w:rsid w:val="00EA7F44"/>
    <w:rsid w:val="00EB483A"/>
    <w:rsid w:val="00EB4F1D"/>
    <w:rsid w:val="00EC4AFA"/>
    <w:rsid w:val="00F063CA"/>
    <w:rsid w:val="00F61FD2"/>
    <w:rsid w:val="00F7482F"/>
    <w:rsid w:val="00FF1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B63A5"/>
  <w15:chartTrackingRefBased/>
  <w15:docId w15:val="{5C1428A1-95C1-1C49-A8AB-A82945545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37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01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15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15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5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5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5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5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5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ume">
    <w:name w:val="Resume"/>
    <w:basedOn w:val="Heading1"/>
    <w:rsid w:val="001B3371"/>
    <w:pPr>
      <w:spacing w:before="480" w:line="276" w:lineRule="auto"/>
    </w:pPr>
    <w:rPr>
      <w:rFonts w:cs="Times New Roman (Headings CS)"/>
      <w:b/>
      <w:bCs/>
      <w:sz w:val="24"/>
      <w:szCs w:val="28"/>
    </w:rPr>
  </w:style>
  <w:style w:type="character" w:customStyle="1" w:styleId="Heading1Char">
    <w:name w:val="Heading 1 Char"/>
    <w:basedOn w:val="DefaultParagraphFont"/>
    <w:link w:val="Heading1"/>
    <w:uiPriority w:val="9"/>
    <w:rsid w:val="001B337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015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15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1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532"/>
    <w:rPr>
      <w:rFonts w:eastAsiaTheme="majorEastAsia" w:cstheme="majorBidi"/>
      <w:color w:val="272727" w:themeColor="text1" w:themeTint="D8"/>
    </w:rPr>
  </w:style>
  <w:style w:type="paragraph" w:styleId="Title">
    <w:name w:val="Title"/>
    <w:basedOn w:val="Normal"/>
    <w:next w:val="Normal"/>
    <w:link w:val="TitleChar"/>
    <w:uiPriority w:val="10"/>
    <w:qFormat/>
    <w:rsid w:val="003015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5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5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1532"/>
    <w:rPr>
      <w:i/>
      <w:iCs/>
      <w:color w:val="404040" w:themeColor="text1" w:themeTint="BF"/>
    </w:rPr>
  </w:style>
  <w:style w:type="paragraph" w:styleId="ListParagraph">
    <w:name w:val="List Paragraph"/>
    <w:basedOn w:val="Normal"/>
    <w:uiPriority w:val="34"/>
    <w:qFormat/>
    <w:rsid w:val="00301532"/>
    <w:pPr>
      <w:ind w:left="720"/>
      <w:contextualSpacing/>
    </w:pPr>
  </w:style>
  <w:style w:type="character" w:styleId="IntenseEmphasis">
    <w:name w:val="Intense Emphasis"/>
    <w:basedOn w:val="DefaultParagraphFont"/>
    <w:uiPriority w:val="21"/>
    <w:qFormat/>
    <w:rsid w:val="00301532"/>
    <w:rPr>
      <w:i/>
      <w:iCs/>
      <w:color w:val="2F5496" w:themeColor="accent1" w:themeShade="BF"/>
    </w:rPr>
  </w:style>
  <w:style w:type="paragraph" w:styleId="IntenseQuote">
    <w:name w:val="Intense Quote"/>
    <w:basedOn w:val="Normal"/>
    <w:next w:val="Normal"/>
    <w:link w:val="IntenseQuoteChar"/>
    <w:uiPriority w:val="30"/>
    <w:qFormat/>
    <w:rsid w:val="00301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532"/>
    <w:rPr>
      <w:i/>
      <w:iCs/>
      <w:color w:val="2F5496" w:themeColor="accent1" w:themeShade="BF"/>
    </w:rPr>
  </w:style>
  <w:style w:type="character" w:styleId="IntenseReference">
    <w:name w:val="Intense Reference"/>
    <w:basedOn w:val="DefaultParagraphFont"/>
    <w:uiPriority w:val="32"/>
    <w:qFormat/>
    <w:rsid w:val="00301532"/>
    <w:rPr>
      <w:b/>
      <w:bCs/>
      <w:smallCaps/>
      <w:color w:val="2F5496" w:themeColor="accent1" w:themeShade="BF"/>
      <w:spacing w:val="5"/>
    </w:rPr>
  </w:style>
  <w:style w:type="character" w:customStyle="1" w:styleId="uv3um">
    <w:name w:val="uv3um"/>
    <w:basedOn w:val="DefaultParagraphFont"/>
    <w:rsid w:val="008822E0"/>
  </w:style>
  <w:style w:type="paragraph" w:customStyle="1" w:styleId="k3ksmc">
    <w:name w:val="k3ksmc"/>
    <w:basedOn w:val="Normal"/>
    <w:rsid w:val="008822E0"/>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A7F44"/>
    <w:rPr>
      <w:color w:val="0563C1" w:themeColor="hyperlink"/>
      <w:u w:val="single"/>
    </w:rPr>
  </w:style>
  <w:style w:type="character" w:styleId="UnresolvedMention">
    <w:name w:val="Unresolved Mention"/>
    <w:basedOn w:val="DefaultParagraphFont"/>
    <w:uiPriority w:val="99"/>
    <w:semiHidden/>
    <w:unhideWhenUsed/>
    <w:rsid w:val="00EA7F44"/>
    <w:rPr>
      <w:color w:val="605E5C"/>
      <w:shd w:val="clear" w:color="auto" w:fill="E1DFDD"/>
    </w:rPr>
  </w:style>
  <w:style w:type="table" w:styleId="TableGrid">
    <w:name w:val="Table Grid"/>
    <w:basedOn w:val="TableNormal"/>
    <w:uiPriority w:val="39"/>
    <w:rsid w:val="005030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A5062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A5062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3">
    <w:name w:val="Plain Table 3"/>
    <w:basedOn w:val="TableNormal"/>
    <w:uiPriority w:val="43"/>
    <w:rsid w:val="00A5062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C71D7D"/>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C71D7D"/>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1">
    <w:name w:val="Grid Table 3 Accent 1"/>
    <w:basedOn w:val="TableNormal"/>
    <w:uiPriority w:val="48"/>
    <w:rsid w:val="00C71D7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5Dark-Accent1">
    <w:name w:val="Grid Table 5 Dark Accent 1"/>
    <w:basedOn w:val="TableNormal"/>
    <w:uiPriority w:val="50"/>
    <w:rsid w:val="00C71D7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7Colorful-Accent1">
    <w:name w:val="Grid Table 7 Colorful Accent 1"/>
    <w:basedOn w:val="TableNormal"/>
    <w:uiPriority w:val="52"/>
    <w:rsid w:val="00C71D7D"/>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NormalWeb">
    <w:name w:val="Normal (Web)"/>
    <w:basedOn w:val="Normal"/>
    <w:uiPriority w:val="99"/>
    <w:semiHidden/>
    <w:unhideWhenUsed/>
    <w:rsid w:val="00EB483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483A"/>
    <w:rPr>
      <w:b/>
      <w:bCs/>
    </w:rPr>
  </w:style>
  <w:style w:type="character" w:customStyle="1" w:styleId="apple-converted-space">
    <w:name w:val="apple-converted-space"/>
    <w:basedOn w:val="DefaultParagraphFont"/>
    <w:rsid w:val="00EB48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896">
      <w:bodyDiv w:val="1"/>
      <w:marLeft w:val="0"/>
      <w:marRight w:val="0"/>
      <w:marTop w:val="0"/>
      <w:marBottom w:val="0"/>
      <w:divBdr>
        <w:top w:val="none" w:sz="0" w:space="0" w:color="auto"/>
        <w:left w:val="none" w:sz="0" w:space="0" w:color="auto"/>
        <w:bottom w:val="none" w:sz="0" w:space="0" w:color="auto"/>
        <w:right w:val="none" w:sz="0" w:space="0" w:color="auto"/>
      </w:divBdr>
      <w:divsChild>
        <w:div w:id="2036272129">
          <w:marLeft w:val="0"/>
          <w:marRight w:val="0"/>
          <w:marTop w:val="0"/>
          <w:marBottom w:val="0"/>
          <w:divBdr>
            <w:top w:val="none" w:sz="0" w:space="0" w:color="auto"/>
            <w:left w:val="none" w:sz="0" w:space="0" w:color="auto"/>
            <w:bottom w:val="none" w:sz="0" w:space="0" w:color="auto"/>
            <w:right w:val="none" w:sz="0" w:space="0" w:color="auto"/>
          </w:divBdr>
        </w:div>
      </w:divsChild>
    </w:div>
    <w:div w:id="283193662">
      <w:bodyDiv w:val="1"/>
      <w:marLeft w:val="0"/>
      <w:marRight w:val="0"/>
      <w:marTop w:val="0"/>
      <w:marBottom w:val="0"/>
      <w:divBdr>
        <w:top w:val="none" w:sz="0" w:space="0" w:color="auto"/>
        <w:left w:val="none" w:sz="0" w:space="0" w:color="auto"/>
        <w:bottom w:val="none" w:sz="0" w:space="0" w:color="auto"/>
        <w:right w:val="none" w:sz="0" w:space="0" w:color="auto"/>
      </w:divBdr>
    </w:div>
    <w:div w:id="920943476">
      <w:bodyDiv w:val="1"/>
      <w:marLeft w:val="0"/>
      <w:marRight w:val="0"/>
      <w:marTop w:val="0"/>
      <w:marBottom w:val="0"/>
      <w:divBdr>
        <w:top w:val="none" w:sz="0" w:space="0" w:color="auto"/>
        <w:left w:val="none" w:sz="0" w:space="0" w:color="auto"/>
        <w:bottom w:val="none" w:sz="0" w:space="0" w:color="auto"/>
        <w:right w:val="none" w:sz="0" w:space="0" w:color="auto"/>
      </w:divBdr>
    </w:div>
    <w:div w:id="956373755">
      <w:bodyDiv w:val="1"/>
      <w:marLeft w:val="0"/>
      <w:marRight w:val="0"/>
      <w:marTop w:val="0"/>
      <w:marBottom w:val="0"/>
      <w:divBdr>
        <w:top w:val="none" w:sz="0" w:space="0" w:color="auto"/>
        <w:left w:val="none" w:sz="0" w:space="0" w:color="auto"/>
        <w:bottom w:val="none" w:sz="0" w:space="0" w:color="auto"/>
        <w:right w:val="none" w:sz="0" w:space="0" w:color="auto"/>
      </w:divBdr>
    </w:div>
    <w:div w:id="961421473">
      <w:bodyDiv w:val="1"/>
      <w:marLeft w:val="0"/>
      <w:marRight w:val="0"/>
      <w:marTop w:val="0"/>
      <w:marBottom w:val="0"/>
      <w:divBdr>
        <w:top w:val="none" w:sz="0" w:space="0" w:color="auto"/>
        <w:left w:val="none" w:sz="0" w:space="0" w:color="auto"/>
        <w:bottom w:val="none" w:sz="0" w:space="0" w:color="auto"/>
        <w:right w:val="none" w:sz="0" w:space="0" w:color="auto"/>
      </w:divBdr>
      <w:divsChild>
        <w:div w:id="1135681016">
          <w:marLeft w:val="0"/>
          <w:marRight w:val="0"/>
          <w:marTop w:val="0"/>
          <w:marBottom w:val="0"/>
          <w:divBdr>
            <w:top w:val="none" w:sz="0" w:space="0" w:color="auto"/>
            <w:left w:val="none" w:sz="0" w:space="0" w:color="auto"/>
            <w:bottom w:val="none" w:sz="0" w:space="0" w:color="auto"/>
            <w:right w:val="none" w:sz="0" w:space="0" w:color="auto"/>
          </w:divBdr>
        </w:div>
      </w:divsChild>
    </w:div>
    <w:div w:id="1084839775">
      <w:bodyDiv w:val="1"/>
      <w:marLeft w:val="0"/>
      <w:marRight w:val="0"/>
      <w:marTop w:val="0"/>
      <w:marBottom w:val="0"/>
      <w:divBdr>
        <w:top w:val="none" w:sz="0" w:space="0" w:color="auto"/>
        <w:left w:val="none" w:sz="0" w:space="0" w:color="auto"/>
        <w:bottom w:val="none" w:sz="0" w:space="0" w:color="auto"/>
        <w:right w:val="none" w:sz="0" w:space="0" w:color="auto"/>
      </w:divBdr>
    </w:div>
    <w:div w:id="1238324680">
      <w:bodyDiv w:val="1"/>
      <w:marLeft w:val="0"/>
      <w:marRight w:val="0"/>
      <w:marTop w:val="0"/>
      <w:marBottom w:val="0"/>
      <w:divBdr>
        <w:top w:val="none" w:sz="0" w:space="0" w:color="auto"/>
        <w:left w:val="none" w:sz="0" w:space="0" w:color="auto"/>
        <w:bottom w:val="none" w:sz="0" w:space="0" w:color="auto"/>
        <w:right w:val="none" w:sz="0" w:space="0" w:color="auto"/>
      </w:divBdr>
    </w:div>
    <w:div w:id="1366523413">
      <w:bodyDiv w:val="1"/>
      <w:marLeft w:val="0"/>
      <w:marRight w:val="0"/>
      <w:marTop w:val="0"/>
      <w:marBottom w:val="0"/>
      <w:divBdr>
        <w:top w:val="none" w:sz="0" w:space="0" w:color="auto"/>
        <w:left w:val="none" w:sz="0" w:space="0" w:color="auto"/>
        <w:bottom w:val="none" w:sz="0" w:space="0" w:color="auto"/>
        <w:right w:val="none" w:sz="0" w:space="0" w:color="auto"/>
      </w:divBdr>
    </w:div>
    <w:div w:id="1393577179">
      <w:bodyDiv w:val="1"/>
      <w:marLeft w:val="0"/>
      <w:marRight w:val="0"/>
      <w:marTop w:val="0"/>
      <w:marBottom w:val="0"/>
      <w:divBdr>
        <w:top w:val="none" w:sz="0" w:space="0" w:color="auto"/>
        <w:left w:val="none" w:sz="0" w:space="0" w:color="auto"/>
        <w:bottom w:val="none" w:sz="0" w:space="0" w:color="auto"/>
        <w:right w:val="none" w:sz="0" w:space="0" w:color="auto"/>
      </w:divBdr>
      <w:divsChild>
        <w:div w:id="628626192">
          <w:marLeft w:val="0"/>
          <w:marRight w:val="0"/>
          <w:marTop w:val="0"/>
          <w:marBottom w:val="0"/>
          <w:divBdr>
            <w:top w:val="none" w:sz="0" w:space="0" w:color="auto"/>
            <w:left w:val="none" w:sz="0" w:space="0" w:color="auto"/>
            <w:bottom w:val="none" w:sz="0" w:space="0" w:color="auto"/>
            <w:right w:val="none" w:sz="0" w:space="0" w:color="auto"/>
          </w:divBdr>
          <w:divsChild>
            <w:div w:id="6448699">
              <w:marLeft w:val="-420"/>
              <w:marRight w:val="0"/>
              <w:marTop w:val="0"/>
              <w:marBottom w:val="0"/>
              <w:divBdr>
                <w:top w:val="none" w:sz="0" w:space="0" w:color="auto"/>
                <w:left w:val="none" w:sz="0" w:space="0" w:color="auto"/>
                <w:bottom w:val="none" w:sz="0" w:space="0" w:color="auto"/>
                <w:right w:val="none" w:sz="0" w:space="0" w:color="auto"/>
              </w:divBdr>
              <w:divsChild>
                <w:div w:id="1229996543">
                  <w:marLeft w:val="0"/>
                  <w:marRight w:val="0"/>
                  <w:marTop w:val="0"/>
                  <w:marBottom w:val="0"/>
                  <w:divBdr>
                    <w:top w:val="none" w:sz="0" w:space="0" w:color="auto"/>
                    <w:left w:val="none" w:sz="0" w:space="0" w:color="auto"/>
                    <w:bottom w:val="none" w:sz="0" w:space="0" w:color="auto"/>
                    <w:right w:val="none" w:sz="0" w:space="0" w:color="auto"/>
                  </w:divBdr>
                  <w:divsChild>
                    <w:div w:id="1050033225">
                      <w:marLeft w:val="0"/>
                      <w:marRight w:val="0"/>
                      <w:marTop w:val="0"/>
                      <w:marBottom w:val="0"/>
                      <w:divBdr>
                        <w:top w:val="none" w:sz="0" w:space="0" w:color="auto"/>
                        <w:left w:val="none" w:sz="0" w:space="0" w:color="auto"/>
                        <w:bottom w:val="none" w:sz="0" w:space="0" w:color="auto"/>
                        <w:right w:val="none" w:sz="0" w:space="0" w:color="auto"/>
                      </w:divBdr>
                      <w:divsChild>
                        <w:div w:id="22656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91151">
              <w:marLeft w:val="0"/>
              <w:marRight w:val="0"/>
              <w:marTop w:val="0"/>
              <w:marBottom w:val="0"/>
              <w:divBdr>
                <w:top w:val="none" w:sz="0" w:space="0" w:color="auto"/>
                <w:left w:val="none" w:sz="0" w:space="0" w:color="auto"/>
                <w:bottom w:val="none" w:sz="0" w:space="0" w:color="auto"/>
                <w:right w:val="none" w:sz="0" w:space="0" w:color="auto"/>
              </w:divBdr>
              <w:divsChild>
                <w:div w:id="70467634">
                  <w:marLeft w:val="-420"/>
                  <w:marRight w:val="0"/>
                  <w:marTop w:val="0"/>
                  <w:marBottom w:val="0"/>
                  <w:divBdr>
                    <w:top w:val="none" w:sz="0" w:space="0" w:color="auto"/>
                    <w:left w:val="none" w:sz="0" w:space="0" w:color="auto"/>
                    <w:bottom w:val="none" w:sz="0" w:space="0" w:color="auto"/>
                    <w:right w:val="none" w:sz="0" w:space="0" w:color="auto"/>
                  </w:divBdr>
                  <w:divsChild>
                    <w:div w:id="592787">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6141">
      <w:bodyDiv w:val="1"/>
      <w:marLeft w:val="0"/>
      <w:marRight w:val="0"/>
      <w:marTop w:val="0"/>
      <w:marBottom w:val="0"/>
      <w:divBdr>
        <w:top w:val="none" w:sz="0" w:space="0" w:color="auto"/>
        <w:left w:val="none" w:sz="0" w:space="0" w:color="auto"/>
        <w:bottom w:val="none" w:sz="0" w:space="0" w:color="auto"/>
        <w:right w:val="none" w:sz="0" w:space="0" w:color="auto"/>
      </w:divBdr>
    </w:div>
    <w:div w:id="1785923849">
      <w:bodyDiv w:val="1"/>
      <w:marLeft w:val="0"/>
      <w:marRight w:val="0"/>
      <w:marTop w:val="0"/>
      <w:marBottom w:val="0"/>
      <w:divBdr>
        <w:top w:val="none" w:sz="0" w:space="0" w:color="auto"/>
        <w:left w:val="none" w:sz="0" w:space="0" w:color="auto"/>
        <w:bottom w:val="none" w:sz="0" w:space="0" w:color="auto"/>
        <w:right w:val="none" w:sz="0" w:space="0" w:color="auto"/>
      </w:divBdr>
    </w:div>
    <w:div w:id="1958367137">
      <w:bodyDiv w:val="1"/>
      <w:marLeft w:val="0"/>
      <w:marRight w:val="0"/>
      <w:marTop w:val="0"/>
      <w:marBottom w:val="0"/>
      <w:divBdr>
        <w:top w:val="none" w:sz="0" w:space="0" w:color="auto"/>
        <w:left w:val="none" w:sz="0" w:space="0" w:color="auto"/>
        <w:bottom w:val="none" w:sz="0" w:space="0" w:color="auto"/>
        <w:right w:val="none" w:sz="0" w:space="0" w:color="auto"/>
      </w:divBdr>
      <w:divsChild>
        <w:div w:id="1365448902">
          <w:marLeft w:val="0"/>
          <w:marRight w:val="0"/>
          <w:marTop w:val="0"/>
          <w:marBottom w:val="0"/>
          <w:divBdr>
            <w:top w:val="none" w:sz="0" w:space="0" w:color="auto"/>
            <w:left w:val="none" w:sz="0" w:space="0" w:color="auto"/>
            <w:bottom w:val="none" w:sz="0" w:space="0" w:color="auto"/>
            <w:right w:val="none" w:sz="0" w:space="0" w:color="auto"/>
          </w:divBdr>
          <w:divsChild>
            <w:div w:id="72627801">
              <w:marLeft w:val="-420"/>
              <w:marRight w:val="0"/>
              <w:marTop w:val="0"/>
              <w:marBottom w:val="0"/>
              <w:divBdr>
                <w:top w:val="none" w:sz="0" w:space="0" w:color="auto"/>
                <w:left w:val="none" w:sz="0" w:space="0" w:color="auto"/>
                <w:bottom w:val="none" w:sz="0" w:space="0" w:color="auto"/>
                <w:right w:val="none" w:sz="0" w:space="0" w:color="auto"/>
              </w:divBdr>
              <w:divsChild>
                <w:div w:id="1951279607">
                  <w:marLeft w:val="0"/>
                  <w:marRight w:val="0"/>
                  <w:marTop w:val="0"/>
                  <w:marBottom w:val="0"/>
                  <w:divBdr>
                    <w:top w:val="none" w:sz="0" w:space="0" w:color="auto"/>
                    <w:left w:val="none" w:sz="0" w:space="0" w:color="auto"/>
                    <w:bottom w:val="none" w:sz="0" w:space="0" w:color="auto"/>
                    <w:right w:val="none" w:sz="0" w:space="0" w:color="auto"/>
                  </w:divBdr>
                  <w:divsChild>
                    <w:div w:id="128598167">
                      <w:marLeft w:val="0"/>
                      <w:marRight w:val="0"/>
                      <w:marTop w:val="0"/>
                      <w:marBottom w:val="0"/>
                      <w:divBdr>
                        <w:top w:val="none" w:sz="0" w:space="0" w:color="auto"/>
                        <w:left w:val="none" w:sz="0" w:space="0" w:color="auto"/>
                        <w:bottom w:val="none" w:sz="0" w:space="0" w:color="auto"/>
                        <w:right w:val="none" w:sz="0" w:space="0" w:color="auto"/>
                      </w:divBdr>
                      <w:divsChild>
                        <w:div w:id="20961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218795">
              <w:marLeft w:val="0"/>
              <w:marRight w:val="0"/>
              <w:marTop w:val="0"/>
              <w:marBottom w:val="0"/>
              <w:divBdr>
                <w:top w:val="none" w:sz="0" w:space="0" w:color="auto"/>
                <w:left w:val="none" w:sz="0" w:space="0" w:color="auto"/>
                <w:bottom w:val="none" w:sz="0" w:space="0" w:color="auto"/>
                <w:right w:val="none" w:sz="0" w:space="0" w:color="auto"/>
              </w:divBdr>
              <w:divsChild>
                <w:div w:id="1962805132">
                  <w:marLeft w:val="-420"/>
                  <w:marRight w:val="0"/>
                  <w:marTop w:val="0"/>
                  <w:marBottom w:val="0"/>
                  <w:divBdr>
                    <w:top w:val="none" w:sz="0" w:space="0" w:color="auto"/>
                    <w:left w:val="none" w:sz="0" w:space="0" w:color="auto"/>
                    <w:bottom w:val="none" w:sz="0" w:space="0" w:color="auto"/>
                    <w:right w:val="none" w:sz="0" w:space="0" w:color="auto"/>
                  </w:divBdr>
                  <w:divsChild>
                    <w:div w:id="398677164">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277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sthda.com/english/wiki/cox-proportional-hazards-model" TargetMode="External"/><Relationship Id="rId4" Type="http://schemas.openxmlformats.org/officeDocument/2006/relationships/webSettings" Target="webSettings.xml"/><Relationship Id="rId9" Type="http://schemas.openxmlformats.org/officeDocument/2006/relationships/hyperlink" Target="https://datatab.net/tutorial/kaplan-meier-cur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7</Pages>
  <Words>1342</Words>
  <Characters>7651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Patel</dc:creator>
  <cp:keywords/>
  <dc:description/>
  <cp:lastModifiedBy>Siddharth Patel</cp:lastModifiedBy>
  <cp:revision>21</cp:revision>
  <dcterms:created xsi:type="dcterms:W3CDTF">2025-04-13T18:02:00Z</dcterms:created>
  <dcterms:modified xsi:type="dcterms:W3CDTF">2025-04-14T00:47:00Z</dcterms:modified>
</cp:coreProperties>
</file>